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2CE0" w14:textId="57CDB111" w:rsidR="000957E4" w:rsidRPr="005A2A50" w:rsidRDefault="005A2A50" w:rsidP="00B755B3">
      <w:pPr>
        <w:rPr>
          <w:rFonts w:asciiTheme="majorHAnsi" w:hAnsiTheme="majorHAnsi"/>
          <w:b/>
          <w:bCs/>
          <w:u w:val="single"/>
        </w:rPr>
      </w:pPr>
      <w:r w:rsidRPr="005A2A50">
        <w:rPr>
          <w:rFonts w:asciiTheme="majorHAnsi" w:hAnsiTheme="majorHAnsi"/>
          <w:b/>
          <w:bCs/>
          <w:u w:val="single"/>
        </w:rPr>
        <w:t xml:space="preserve">GUIDE FOR PARTNERS: LGR CONSULTATION RESPONSE </w:t>
      </w:r>
    </w:p>
    <w:p w14:paraId="4B6AFEF8" w14:textId="3D432D4B" w:rsidR="008F15D7" w:rsidRDefault="008F15D7">
      <w:pPr>
        <w:rPr>
          <w:rFonts w:asciiTheme="majorHAnsi" w:hAnsiTheme="majorHAnsi"/>
        </w:rPr>
      </w:pPr>
      <w:r>
        <w:rPr>
          <w:rFonts w:asciiTheme="majorHAnsi" w:hAnsiTheme="majorHAnsi"/>
        </w:rPr>
        <w:t xml:space="preserve">This guide </w:t>
      </w:r>
      <w:r w:rsidR="005C5599">
        <w:rPr>
          <w:rFonts w:asciiTheme="majorHAnsi" w:hAnsiTheme="majorHAnsi"/>
        </w:rPr>
        <w:t xml:space="preserve">is intended as a supporting document to the ECC consultation response for our partners. The consultation questions have been summarised, with </w:t>
      </w:r>
      <w:r w:rsidR="00BC7C71">
        <w:rPr>
          <w:rFonts w:asciiTheme="majorHAnsi" w:hAnsiTheme="majorHAnsi"/>
        </w:rPr>
        <w:t>key areas of the original business case picked out to provide further detail</w:t>
      </w:r>
      <w:r w:rsidR="000B4439">
        <w:rPr>
          <w:rFonts w:asciiTheme="majorHAnsi" w:hAnsiTheme="majorHAnsi"/>
        </w:rPr>
        <w:t xml:space="preserve"> and </w:t>
      </w:r>
      <w:r w:rsidR="00297003">
        <w:rPr>
          <w:rFonts w:asciiTheme="majorHAnsi" w:hAnsiTheme="majorHAnsi"/>
        </w:rPr>
        <w:t>supplement</w:t>
      </w:r>
      <w:r w:rsidR="000B4439">
        <w:rPr>
          <w:rFonts w:asciiTheme="majorHAnsi" w:hAnsiTheme="majorHAnsi"/>
        </w:rPr>
        <w:t xml:space="preserve"> partners</w:t>
      </w:r>
      <w:r w:rsidR="0028033C">
        <w:rPr>
          <w:rFonts w:asciiTheme="majorHAnsi" w:hAnsiTheme="majorHAnsi"/>
        </w:rPr>
        <w:t>’</w:t>
      </w:r>
      <w:r w:rsidR="000B4439">
        <w:rPr>
          <w:rFonts w:asciiTheme="majorHAnsi" w:hAnsiTheme="majorHAnsi"/>
        </w:rPr>
        <w:t xml:space="preserve"> own consultation responses. </w:t>
      </w:r>
    </w:p>
    <w:p w14:paraId="0F12E409" w14:textId="57188A6B" w:rsidR="00814E51" w:rsidRPr="00814E51" w:rsidRDefault="00814E51">
      <w:pPr>
        <w:rPr>
          <w:rFonts w:asciiTheme="majorHAnsi" w:hAnsiTheme="majorHAnsi"/>
          <w:b/>
          <w:bCs/>
        </w:rPr>
      </w:pPr>
      <w:r w:rsidRPr="00814E51">
        <w:rPr>
          <w:rFonts w:asciiTheme="majorHAnsi" w:hAnsiTheme="majorHAnsi"/>
          <w:b/>
          <w:bCs/>
        </w:rPr>
        <w:t>KEY LINKS</w:t>
      </w:r>
    </w:p>
    <w:p w14:paraId="772FDE9D" w14:textId="38DB1643" w:rsidR="000F2BBC" w:rsidRDefault="000957E4">
      <w:pPr>
        <w:rPr>
          <w:rFonts w:asciiTheme="majorHAnsi" w:hAnsiTheme="majorHAnsi"/>
        </w:rPr>
      </w:pPr>
      <w:r w:rsidRPr="000F563C">
        <w:rPr>
          <w:rFonts w:asciiTheme="majorHAnsi" w:hAnsiTheme="majorHAnsi"/>
          <w:b/>
          <w:bCs/>
        </w:rPr>
        <w:t xml:space="preserve">Business </w:t>
      </w:r>
      <w:r w:rsidR="00814E51">
        <w:rPr>
          <w:rFonts w:asciiTheme="majorHAnsi" w:hAnsiTheme="majorHAnsi"/>
          <w:b/>
          <w:bCs/>
        </w:rPr>
        <w:t>C</w:t>
      </w:r>
      <w:r w:rsidRPr="000F563C">
        <w:rPr>
          <w:rFonts w:asciiTheme="majorHAnsi" w:hAnsiTheme="majorHAnsi"/>
          <w:b/>
          <w:bCs/>
        </w:rPr>
        <w:t>ase:</w:t>
      </w:r>
      <w:r w:rsidRPr="00A92F3C">
        <w:rPr>
          <w:rFonts w:asciiTheme="majorHAnsi" w:hAnsiTheme="majorHAnsi"/>
        </w:rPr>
        <w:t xml:space="preserve"> </w:t>
      </w:r>
      <w:hyperlink r:id="rId7" w:history="1">
        <w:r w:rsidRPr="00B755B3">
          <w:rPr>
            <w:rStyle w:val="Hyperlink"/>
            <w:rFonts w:asciiTheme="majorHAnsi" w:hAnsiTheme="majorHAnsi"/>
            <w:color w:val="215E99" w:themeColor="text2" w:themeTint="BF"/>
          </w:rPr>
          <w:t>Three new councils, one bright future</w:t>
        </w:r>
      </w:hyperlink>
    </w:p>
    <w:p w14:paraId="3FC19021" w14:textId="2AF712ED" w:rsidR="00BC7C71" w:rsidRPr="0028033C" w:rsidRDefault="00BC7C71">
      <w:pPr>
        <w:rPr>
          <w:rFonts w:asciiTheme="majorHAnsi" w:hAnsiTheme="majorHAnsi"/>
          <w:lang w:val="fr-FR"/>
        </w:rPr>
      </w:pPr>
      <w:r w:rsidRPr="0028033C">
        <w:rPr>
          <w:rFonts w:asciiTheme="majorHAnsi" w:hAnsiTheme="majorHAnsi"/>
          <w:b/>
          <w:bCs/>
          <w:lang w:val="fr-FR"/>
        </w:rPr>
        <w:t xml:space="preserve">ECC </w:t>
      </w:r>
      <w:r w:rsidR="00814E51">
        <w:rPr>
          <w:rFonts w:asciiTheme="majorHAnsi" w:hAnsiTheme="majorHAnsi"/>
          <w:b/>
          <w:bCs/>
          <w:lang w:val="fr-FR"/>
        </w:rPr>
        <w:t>Consultation Response</w:t>
      </w:r>
      <w:r w:rsidRPr="0028033C">
        <w:rPr>
          <w:rFonts w:asciiTheme="majorHAnsi" w:hAnsiTheme="majorHAnsi"/>
          <w:b/>
          <w:bCs/>
          <w:lang w:val="fr-FR"/>
        </w:rPr>
        <w:t>:</w:t>
      </w:r>
      <w:r w:rsidRPr="0028033C">
        <w:rPr>
          <w:rFonts w:asciiTheme="majorHAnsi" w:hAnsiTheme="majorHAnsi"/>
          <w:lang w:val="fr-FR"/>
        </w:rPr>
        <w:t xml:space="preserve"> </w:t>
      </w:r>
      <w:hyperlink r:id="rId8" w:history="1">
        <w:r w:rsidR="00D3373A" w:rsidRPr="00B755B3">
          <w:rPr>
            <w:color w:val="215E99" w:themeColor="text2" w:themeTint="BF"/>
            <w:u w:val="single"/>
          </w:rPr>
          <w:t>Local Government Reorganisation (LGR) | Essex County Council</w:t>
        </w:r>
      </w:hyperlink>
    </w:p>
    <w:p w14:paraId="6E5C6BE0" w14:textId="28D5174E" w:rsidR="000F2BBC" w:rsidRPr="0028033C" w:rsidRDefault="00814E51">
      <w:pPr>
        <w:rPr>
          <w:rFonts w:asciiTheme="majorHAnsi" w:hAnsiTheme="majorHAnsi"/>
          <w:b/>
          <w:bCs/>
          <w:lang w:val="fr-FR"/>
        </w:rPr>
      </w:pPr>
      <w:r>
        <w:rPr>
          <w:rFonts w:asciiTheme="majorHAnsi" w:hAnsiTheme="majorHAnsi"/>
          <w:b/>
          <w:bCs/>
          <w:lang w:val="fr-FR"/>
        </w:rPr>
        <w:t>CONSULTATION QUESTIONS</w:t>
      </w:r>
    </w:p>
    <w:p w14:paraId="560DFE37" w14:textId="3B85A2B5" w:rsidR="000F2BBC" w:rsidRPr="00AB5640" w:rsidRDefault="00AB5640" w:rsidP="00992AEF">
      <w:pPr>
        <w:ind w:left="360" w:hanging="360"/>
        <w:rPr>
          <w:rFonts w:asciiTheme="majorHAnsi" w:hAnsiTheme="majorHAnsi"/>
          <w:b/>
          <w:bCs/>
          <w:color w:val="0070C0"/>
        </w:rPr>
      </w:pPr>
      <w:r>
        <w:rPr>
          <w:rFonts w:asciiTheme="majorHAnsi" w:hAnsiTheme="majorHAnsi"/>
          <w:b/>
          <w:bCs/>
          <w:color w:val="0070C0"/>
        </w:rPr>
        <w:t>Q1</w:t>
      </w:r>
      <w:r>
        <w:rPr>
          <w:rFonts w:asciiTheme="majorHAnsi" w:hAnsiTheme="majorHAnsi"/>
          <w:b/>
          <w:bCs/>
          <w:color w:val="0070C0"/>
        </w:rPr>
        <w:tab/>
      </w:r>
      <w:r w:rsidR="000F2BBC" w:rsidRPr="00AB5640">
        <w:rPr>
          <w:rFonts w:asciiTheme="majorHAnsi" w:hAnsiTheme="majorHAnsi"/>
          <w:b/>
          <w:bCs/>
          <w:color w:val="0070C0"/>
        </w:rPr>
        <w:t>To what extent do you agree or disagree that the proposal suggests councils that are based on sensible geographies and economic areas?  </w:t>
      </w:r>
    </w:p>
    <w:p w14:paraId="16B91958" w14:textId="6CFDF988" w:rsidR="000F2BBC" w:rsidRPr="00A92F3C" w:rsidRDefault="000F2BBC" w:rsidP="00AB5640">
      <w:pPr>
        <w:ind w:firstLine="360"/>
        <w:rPr>
          <w:rFonts w:asciiTheme="majorHAnsi" w:hAnsiTheme="majorHAnsi"/>
        </w:rPr>
      </w:pPr>
      <w:r w:rsidRPr="00627A5A">
        <w:rPr>
          <w:rFonts w:asciiTheme="majorHAnsi" w:hAnsiTheme="majorHAnsi"/>
          <w:b/>
          <w:bCs/>
        </w:rPr>
        <w:t xml:space="preserve">Our </w:t>
      </w:r>
      <w:r w:rsidR="00DB1099" w:rsidRPr="00627A5A">
        <w:rPr>
          <w:rFonts w:asciiTheme="majorHAnsi" w:hAnsiTheme="majorHAnsi"/>
          <w:b/>
          <w:bCs/>
        </w:rPr>
        <w:t xml:space="preserve">scoring </w:t>
      </w:r>
      <w:r w:rsidRPr="00627A5A">
        <w:rPr>
          <w:rFonts w:asciiTheme="majorHAnsi" w:hAnsiTheme="majorHAnsi"/>
          <w:b/>
          <w:bCs/>
        </w:rPr>
        <w:t>answer:</w:t>
      </w:r>
      <w:r w:rsidRPr="00A92F3C">
        <w:rPr>
          <w:rFonts w:asciiTheme="majorHAnsi" w:hAnsiTheme="majorHAnsi"/>
        </w:rPr>
        <w:t xml:space="preserve"> Strongly agree. </w:t>
      </w:r>
    </w:p>
    <w:p w14:paraId="2E836CEA" w14:textId="10B6CDAC" w:rsidR="000F2BBC" w:rsidRPr="00627A5A" w:rsidRDefault="000F2BBC" w:rsidP="00AB5640">
      <w:pPr>
        <w:ind w:firstLine="360"/>
        <w:rPr>
          <w:rFonts w:asciiTheme="majorHAnsi" w:hAnsiTheme="majorHAnsi"/>
          <w:b/>
          <w:bCs/>
        </w:rPr>
      </w:pPr>
      <w:r w:rsidRPr="00627A5A">
        <w:rPr>
          <w:rFonts w:asciiTheme="majorHAnsi" w:hAnsiTheme="majorHAnsi"/>
          <w:b/>
          <w:bCs/>
        </w:rPr>
        <w:t xml:space="preserve">Summary of points made: </w:t>
      </w:r>
    </w:p>
    <w:p w14:paraId="3FD23471" w14:textId="37D1917D" w:rsidR="003C12E0" w:rsidRPr="00A92F3C" w:rsidRDefault="003C12E0" w:rsidP="00AB5640">
      <w:pPr>
        <w:ind w:left="360"/>
        <w:rPr>
          <w:rFonts w:asciiTheme="majorHAnsi" w:hAnsiTheme="majorHAnsi"/>
        </w:rPr>
      </w:pPr>
      <w:r w:rsidRPr="00A92F3C">
        <w:rPr>
          <w:rFonts w:asciiTheme="majorHAnsi" w:hAnsiTheme="majorHAnsi"/>
        </w:rPr>
        <w:t xml:space="preserve">The three-unitary model </w:t>
      </w:r>
      <w:r w:rsidR="00DD7CED">
        <w:rPr>
          <w:rFonts w:asciiTheme="majorHAnsi" w:hAnsiTheme="majorHAnsi"/>
        </w:rPr>
        <w:t xml:space="preserve">has the </w:t>
      </w:r>
      <w:r w:rsidRPr="00A92F3C">
        <w:rPr>
          <w:rFonts w:asciiTheme="majorHAnsi" w:hAnsiTheme="majorHAnsi"/>
        </w:rPr>
        <w:t xml:space="preserve">most </w:t>
      </w:r>
      <w:r w:rsidR="0028033C">
        <w:rPr>
          <w:rFonts w:asciiTheme="majorHAnsi" w:hAnsiTheme="majorHAnsi"/>
        </w:rPr>
        <w:t>robust</w:t>
      </w:r>
      <w:r w:rsidRPr="00A92F3C">
        <w:rPr>
          <w:rFonts w:asciiTheme="majorHAnsi" w:hAnsiTheme="majorHAnsi"/>
        </w:rPr>
        <w:t xml:space="preserve"> approach to restructuring councils in Greater Essex</w:t>
      </w:r>
      <w:r w:rsidR="000727BB">
        <w:rPr>
          <w:rFonts w:asciiTheme="majorHAnsi" w:hAnsiTheme="majorHAnsi"/>
        </w:rPr>
        <w:t>. I</w:t>
      </w:r>
      <w:r w:rsidRPr="00A92F3C">
        <w:rPr>
          <w:rFonts w:asciiTheme="majorHAnsi" w:hAnsiTheme="majorHAnsi"/>
        </w:rPr>
        <w:t>t preserves established economic geographies like the Thames Gateway, aligns each area with dynamic growth drivers such as major cities, universities, airports, and freeports, and ensures balanced distribution of both affluence and deprivation across councils. This model promotes inclusive economic growth, avoids concentrated clusters of deprivation, and better manages demand for public services. Additionally, it provides a fairer and more achievable framework for housing growth, with each area having clear, balanced targets and sufficient land availability to meet future needs.</w:t>
      </w:r>
    </w:p>
    <w:p w14:paraId="1B9C6D68" w14:textId="61D37F2F" w:rsidR="00206BB9" w:rsidRPr="00A92F3C" w:rsidRDefault="00A939A6" w:rsidP="00AB5640">
      <w:pPr>
        <w:ind w:firstLine="360"/>
        <w:rPr>
          <w:rFonts w:asciiTheme="majorHAnsi" w:hAnsiTheme="majorHAnsi"/>
          <w:b/>
          <w:bCs/>
        </w:rPr>
      </w:pPr>
      <w:r w:rsidRPr="00A92F3C">
        <w:rPr>
          <w:rFonts w:asciiTheme="majorHAnsi" w:hAnsiTheme="majorHAnsi"/>
          <w:b/>
          <w:bCs/>
        </w:rPr>
        <w:t>For more information,</w:t>
      </w:r>
      <w:r w:rsidR="00206BB9" w:rsidRPr="00A92F3C">
        <w:rPr>
          <w:rFonts w:asciiTheme="majorHAnsi" w:hAnsiTheme="majorHAnsi"/>
          <w:b/>
          <w:bCs/>
        </w:rPr>
        <w:t xml:space="preserve"> please refer to the following areas of the ECC business case:</w:t>
      </w:r>
    </w:p>
    <w:p w14:paraId="48BF8E09" w14:textId="041EC4BB" w:rsidR="0028033C" w:rsidRDefault="0028033C" w:rsidP="009655CD">
      <w:pPr>
        <w:pStyle w:val="ListParagraph"/>
        <w:numPr>
          <w:ilvl w:val="0"/>
          <w:numId w:val="3"/>
        </w:numPr>
        <w:rPr>
          <w:rFonts w:asciiTheme="majorHAnsi" w:hAnsiTheme="majorHAnsi"/>
        </w:rPr>
      </w:pPr>
      <w:r>
        <w:rPr>
          <w:rFonts w:asciiTheme="majorHAnsi" w:hAnsiTheme="majorHAnsi"/>
        </w:rPr>
        <w:t>Options Appraisal – pp 65-68</w:t>
      </w:r>
    </w:p>
    <w:p w14:paraId="1984D8E1" w14:textId="7B072F31" w:rsidR="0028033C" w:rsidRDefault="0028033C" w:rsidP="009655CD">
      <w:pPr>
        <w:pStyle w:val="ListParagraph"/>
        <w:numPr>
          <w:ilvl w:val="0"/>
          <w:numId w:val="3"/>
        </w:numPr>
        <w:rPr>
          <w:rFonts w:asciiTheme="majorHAnsi" w:hAnsiTheme="majorHAnsi"/>
        </w:rPr>
      </w:pPr>
      <w:r>
        <w:rPr>
          <w:rFonts w:asciiTheme="majorHAnsi" w:hAnsiTheme="majorHAnsi"/>
        </w:rPr>
        <w:t>Description of the three new unitaries – pp 93-101</w:t>
      </w:r>
    </w:p>
    <w:p w14:paraId="25B73624" w14:textId="64C308B3" w:rsidR="00627A5A" w:rsidRDefault="0028033C" w:rsidP="000F2BBC">
      <w:pPr>
        <w:pStyle w:val="ListParagraph"/>
        <w:numPr>
          <w:ilvl w:val="0"/>
          <w:numId w:val="3"/>
        </w:numPr>
        <w:rPr>
          <w:rFonts w:asciiTheme="majorHAnsi" w:hAnsiTheme="majorHAnsi"/>
        </w:rPr>
      </w:pPr>
      <w:r>
        <w:rPr>
          <w:rFonts w:asciiTheme="majorHAnsi" w:hAnsiTheme="majorHAnsi"/>
        </w:rPr>
        <w:t>Unlocking economic and housing growth – pp 121-134</w:t>
      </w:r>
    </w:p>
    <w:p w14:paraId="6F4B07F7" w14:textId="469838C0" w:rsidR="00B33DFF" w:rsidRPr="00B77E1A" w:rsidRDefault="00B33DFF" w:rsidP="00B33DFF">
      <w:pPr>
        <w:pStyle w:val="ListParagraph"/>
        <w:rPr>
          <w:rFonts w:asciiTheme="majorHAnsi" w:hAnsiTheme="majorHAnsi"/>
        </w:rPr>
      </w:pPr>
    </w:p>
    <w:p w14:paraId="799FB5FD" w14:textId="589E88E0" w:rsidR="005910FD"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Q2</w:t>
      </w:r>
      <w:r w:rsidRPr="00992AEF">
        <w:rPr>
          <w:rFonts w:asciiTheme="majorHAnsi" w:hAnsiTheme="majorHAnsi"/>
          <w:b/>
          <w:bCs/>
          <w:color w:val="0070C0"/>
        </w:rPr>
        <w:tab/>
      </w:r>
      <w:r w:rsidR="005910FD" w:rsidRPr="00992AEF">
        <w:rPr>
          <w:rFonts w:asciiTheme="majorHAnsi" w:hAnsiTheme="majorHAnsi"/>
          <w:b/>
          <w:bCs/>
          <w:color w:val="0070C0"/>
        </w:rPr>
        <w:t>To what extent do you agree or disagree that the proposed councils will be able to deliver the outcomes they describe in the proposal?</w:t>
      </w:r>
    </w:p>
    <w:p w14:paraId="36EB3D69" w14:textId="6509BDEE" w:rsidR="005910FD" w:rsidRPr="00A92F3C" w:rsidRDefault="00D21AC4" w:rsidP="00992AEF">
      <w:pPr>
        <w:ind w:firstLine="360"/>
        <w:rPr>
          <w:rFonts w:asciiTheme="majorHAnsi" w:hAnsiTheme="majorHAnsi"/>
        </w:rPr>
      </w:pPr>
      <w:r w:rsidRPr="00627A5A">
        <w:rPr>
          <w:rFonts w:asciiTheme="majorHAnsi" w:hAnsiTheme="majorHAnsi"/>
          <w:b/>
          <w:bCs/>
        </w:rPr>
        <w:t>Our scoring answer:</w:t>
      </w:r>
      <w:r w:rsidRPr="00A92F3C">
        <w:rPr>
          <w:rFonts w:asciiTheme="majorHAnsi" w:hAnsiTheme="majorHAnsi"/>
        </w:rPr>
        <w:t xml:space="preserve"> </w:t>
      </w:r>
      <w:r w:rsidR="005910FD" w:rsidRPr="00A92F3C">
        <w:rPr>
          <w:rFonts w:asciiTheme="majorHAnsi" w:hAnsiTheme="majorHAnsi"/>
        </w:rPr>
        <w:t>Strongly agree</w:t>
      </w:r>
      <w:r w:rsidRPr="00A92F3C">
        <w:rPr>
          <w:rFonts w:asciiTheme="majorHAnsi" w:hAnsiTheme="majorHAnsi"/>
        </w:rPr>
        <w:t xml:space="preserve">. </w:t>
      </w:r>
    </w:p>
    <w:p w14:paraId="4079E88C" w14:textId="62D0EF31" w:rsidR="00627A5A" w:rsidRPr="00627A5A"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4468EE70" w14:textId="188DC7CE" w:rsidR="00066118" w:rsidRPr="00A92F3C" w:rsidRDefault="00066118" w:rsidP="00992AEF">
      <w:pPr>
        <w:ind w:left="360"/>
        <w:rPr>
          <w:rFonts w:asciiTheme="majorHAnsi" w:hAnsiTheme="majorHAnsi"/>
        </w:rPr>
      </w:pPr>
      <w:r w:rsidRPr="00A92F3C">
        <w:rPr>
          <w:rFonts w:asciiTheme="majorHAnsi" w:hAnsiTheme="majorHAnsi"/>
        </w:rPr>
        <w:t xml:space="preserve">The three-unitary model is </w:t>
      </w:r>
      <w:r w:rsidR="000727BB">
        <w:rPr>
          <w:rFonts w:asciiTheme="majorHAnsi" w:hAnsiTheme="majorHAnsi"/>
        </w:rPr>
        <w:t xml:space="preserve">the </w:t>
      </w:r>
      <w:r w:rsidRPr="00A92F3C">
        <w:rPr>
          <w:rFonts w:asciiTheme="majorHAnsi" w:hAnsiTheme="majorHAnsi"/>
        </w:rPr>
        <w:t>mo</w:t>
      </w:r>
      <w:r w:rsidR="000727BB">
        <w:rPr>
          <w:rFonts w:asciiTheme="majorHAnsi" w:hAnsiTheme="majorHAnsi"/>
        </w:rPr>
        <w:t>st</w:t>
      </w:r>
      <w:r w:rsidRPr="00A92F3C">
        <w:rPr>
          <w:rFonts w:asciiTheme="majorHAnsi" w:hAnsiTheme="majorHAnsi"/>
        </w:rPr>
        <w:t xml:space="preserve"> effective and sustainable alternative to the outdated two-tier system</w:t>
      </w:r>
      <w:r w:rsidR="009A3FDA">
        <w:rPr>
          <w:rFonts w:asciiTheme="majorHAnsi" w:hAnsiTheme="majorHAnsi"/>
        </w:rPr>
        <w:t>. This model</w:t>
      </w:r>
      <w:r w:rsidR="000727BB">
        <w:rPr>
          <w:rFonts w:asciiTheme="majorHAnsi" w:hAnsiTheme="majorHAnsi"/>
        </w:rPr>
        <w:t xml:space="preserve"> will</w:t>
      </w:r>
      <w:r w:rsidRPr="00A92F3C">
        <w:rPr>
          <w:rFonts w:asciiTheme="majorHAnsi" w:hAnsiTheme="majorHAnsi"/>
        </w:rPr>
        <w:t xml:space="preserve"> </w:t>
      </w:r>
      <w:r w:rsidR="0028033C">
        <w:rPr>
          <w:rFonts w:asciiTheme="majorHAnsi" w:hAnsiTheme="majorHAnsi"/>
        </w:rPr>
        <w:t>deliver for</w:t>
      </w:r>
      <w:r w:rsidRPr="00A92F3C">
        <w:rPr>
          <w:rFonts w:asciiTheme="majorHAnsi" w:hAnsiTheme="majorHAnsi"/>
        </w:rPr>
        <w:t xml:space="preserve"> residents</w:t>
      </w:r>
      <w:r w:rsidR="0028033C">
        <w:rPr>
          <w:rFonts w:asciiTheme="majorHAnsi" w:hAnsiTheme="majorHAnsi"/>
        </w:rPr>
        <w:t xml:space="preserve"> what they tell us they want from LGR, which is better services and better value for money</w:t>
      </w:r>
      <w:r w:rsidRPr="00A92F3C">
        <w:rPr>
          <w:rFonts w:asciiTheme="majorHAnsi" w:hAnsiTheme="majorHAnsi"/>
        </w:rPr>
        <w:t xml:space="preserve">. It is underpinned by robust evidence from independent </w:t>
      </w:r>
      <w:r w:rsidR="009A3FDA" w:rsidRPr="00A92F3C">
        <w:rPr>
          <w:rFonts w:asciiTheme="majorHAnsi" w:hAnsiTheme="majorHAnsi"/>
        </w:rPr>
        <w:t>analys</w:t>
      </w:r>
      <w:r w:rsidR="009A3FDA">
        <w:rPr>
          <w:rFonts w:asciiTheme="majorHAnsi" w:hAnsiTheme="majorHAnsi"/>
        </w:rPr>
        <w:t>is</w:t>
      </w:r>
      <w:r w:rsidR="009A3FDA" w:rsidRPr="00A92F3C">
        <w:rPr>
          <w:rFonts w:asciiTheme="majorHAnsi" w:hAnsiTheme="majorHAnsi"/>
        </w:rPr>
        <w:t xml:space="preserve">, </w:t>
      </w:r>
      <w:r w:rsidR="0028033C">
        <w:rPr>
          <w:rFonts w:asciiTheme="majorHAnsi" w:hAnsiTheme="majorHAnsi"/>
        </w:rPr>
        <w:t xml:space="preserve">and </w:t>
      </w:r>
      <w:r w:rsidR="009A3FDA" w:rsidRPr="00A92F3C">
        <w:rPr>
          <w:rFonts w:asciiTheme="majorHAnsi" w:hAnsiTheme="majorHAnsi"/>
        </w:rPr>
        <w:t>financial</w:t>
      </w:r>
      <w:r w:rsidRPr="00A92F3C">
        <w:rPr>
          <w:rFonts w:asciiTheme="majorHAnsi" w:hAnsiTheme="majorHAnsi"/>
        </w:rPr>
        <w:t xml:space="preserve"> assumptions that avoid overpromising</w:t>
      </w:r>
      <w:r w:rsidR="007C5744">
        <w:rPr>
          <w:rFonts w:asciiTheme="majorHAnsi" w:hAnsiTheme="majorHAnsi"/>
        </w:rPr>
        <w:t xml:space="preserve"> and are cautious</w:t>
      </w:r>
      <w:r w:rsidR="0028033C">
        <w:rPr>
          <w:rFonts w:asciiTheme="majorHAnsi" w:hAnsiTheme="majorHAnsi"/>
        </w:rPr>
        <w:t xml:space="preserve">.  </w:t>
      </w:r>
      <w:r w:rsidR="0028033C">
        <w:rPr>
          <w:rFonts w:asciiTheme="majorHAnsi" w:hAnsiTheme="majorHAnsi"/>
        </w:rPr>
        <w:lastRenderedPageBreak/>
        <w:t xml:space="preserve">Our proposal will also deliver what our key partners, including the </w:t>
      </w:r>
      <w:r w:rsidRPr="00A92F3C">
        <w:rPr>
          <w:rFonts w:asciiTheme="majorHAnsi" w:hAnsiTheme="majorHAnsi"/>
        </w:rPr>
        <w:t>NHS, Police, businesses</w:t>
      </w:r>
      <w:r w:rsidR="0028033C">
        <w:rPr>
          <w:rFonts w:asciiTheme="majorHAnsi" w:hAnsiTheme="majorHAnsi"/>
        </w:rPr>
        <w:t xml:space="preserve"> and the voluntary sector, tell us they want – which is a simpler local government system and resilient councils with the capacity to sustain critical services, to invest in communities, and to work effectively with partners at both a system and a neighbourhood level.</w:t>
      </w:r>
    </w:p>
    <w:p w14:paraId="5D40F899" w14:textId="77777777" w:rsidR="00206BB9" w:rsidRDefault="00206BB9"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4345CD2D" w14:textId="544E8543" w:rsidR="00B33DFF" w:rsidRDefault="00B33DFF" w:rsidP="005910FD">
      <w:pPr>
        <w:pStyle w:val="ListParagraph"/>
        <w:numPr>
          <w:ilvl w:val="0"/>
          <w:numId w:val="4"/>
        </w:numPr>
        <w:rPr>
          <w:rFonts w:asciiTheme="majorHAnsi" w:hAnsiTheme="majorHAnsi"/>
        </w:rPr>
      </w:pPr>
      <w:r>
        <w:rPr>
          <w:rFonts w:asciiTheme="majorHAnsi" w:hAnsiTheme="majorHAnsi"/>
        </w:rPr>
        <w:t>How we have developed our proposal – pp 26-37</w:t>
      </w:r>
    </w:p>
    <w:p w14:paraId="7A0642E3" w14:textId="3F9ABA49" w:rsidR="00206BB9" w:rsidRDefault="00B33DFF" w:rsidP="005910FD">
      <w:pPr>
        <w:pStyle w:val="ListParagraph"/>
        <w:numPr>
          <w:ilvl w:val="0"/>
          <w:numId w:val="4"/>
        </w:numPr>
        <w:rPr>
          <w:rFonts w:asciiTheme="majorHAnsi" w:hAnsiTheme="majorHAnsi"/>
        </w:rPr>
      </w:pPr>
      <w:r>
        <w:rPr>
          <w:rFonts w:asciiTheme="majorHAnsi" w:hAnsiTheme="majorHAnsi"/>
        </w:rPr>
        <w:t>The case for change – pp 38-54</w:t>
      </w:r>
    </w:p>
    <w:p w14:paraId="51177933" w14:textId="77777777" w:rsidR="00B33DFF" w:rsidRDefault="00B33DFF" w:rsidP="00B33DFF">
      <w:pPr>
        <w:pStyle w:val="ListParagraph"/>
        <w:numPr>
          <w:ilvl w:val="0"/>
          <w:numId w:val="4"/>
        </w:numPr>
        <w:rPr>
          <w:rFonts w:asciiTheme="majorHAnsi" w:hAnsiTheme="majorHAnsi"/>
        </w:rPr>
      </w:pPr>
      <w:r>
        <w:rPr>
          <w:rFonts w:asciiTheme="majorHAnsi" w:hAnsiTheme="majorHAnsi"/>
        </w:rPr>
        <w:t>Options Appraisal – pp 65-68</w:t>
      </w:r>
    </w:p>
    <w:p w14:paraId="5D3B1E3A" w14:textId="77777777" w:rsidR="00C20DF1" w:rsidRDefault="00C20DF1" w:rsidP="00C20DF1">
      <w:pPr>
        <w:pStyle w:val="ListParagraph"/>
        <w:numPr>
          <w:ilvl w:val="0"/>
          <w:numId w:val="4"/>
        </w:numPr>
        <w:rPr>
          <w:rFonts w:asciiTheme="majorHAnsi" w:hAnsiTheme="majorHAnsi"/>
        </w:rPr>
      </w:pPr>
      <w:r>
        <w:rPr>
          <w:rFonts w:asciiTheme="majorHAnsi" w:hAnsiTheme="majorHAnsi"/>
        </w:rPr>
        <w:t>Places that work for people – pp 161-167</w:t>
      </w:r>
    </w:p>
    <w:p w14:paraId="4CC5D9A3" w14:textId="4511B5D6" w:rsidR="00C20DF1" w:rsidRDefault="00C20DF1" w:rsidP="00B33DFF">
      <w:pPr>
        <w:pStyle w:val="ListParagraph"/>
        <w:numPr>
          <w:ilvl w:val="0"/>
          <w:numId w:val="4"/>
        </w:numPr>
        <w:rPr>
          <w:rFonts w:asciiTheme="majorHAnsi" w:hAnsiTheme="majorHAnsi"/>
        </w:rPr>
      </w:pPr>
      <w:r>
        <w:rPr>
          <w:rFonts w:asciiTheme="majorHAnsi" w:hAnsiTheme="majorHAnsi"/>
        </w:rPr>
        <w:t>Joining up public services with our strategic partners – pp 180-184</w:t>
      </w:r>
    </w:p>
    <w:p w14:paraId="53312BAD" w14:textId="77777777" w:rsidR="00B33DFF" w:rsidRPr="00B77E1A" w:rsidRDefault="00B33DFF" w:rsidP="00B33DFF">
      <w:pPr>
        <w:pStyle w:val="ListParagraph"/>
        <w:rPr>
          <w:rFonts w:asciiTheme="majorHAnsi" w:hAnsiTheme="majorHAnsi"/>
        </w:rPr>
      </w:pPr>
    </w:p>
    <w:p w14:paraId="181AE48E" w14:textId="485D5D77" w:rsidR="00A150A3"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Q3</w:t>
      </w:r>
      <w:r w:rsidRPr="00992AEF">
        <w:rPr>
          <w:rFonts w:asciiTheme="majorHAnsi" w:hAnsiTheme="majorHAnsi"/>
          <w:b/>
          <w:bCs/>
          <w:color w:val="0070C0"/>
        </w:rPr>
        <w:tab/>
      </w:r>
      <w:r w:rsidR="00A150A3" w:rsidRPr="00992AEF">
        <w:rPr>
          <w:rFonts w:asciiTheme="majorHAnsi" w:hAnsiTheme="majorHAnsi"/>
          <w:b/>
          <w:bCs/>
          <w:color w:val="0070C0"/>
        </w:rPr>
        <w:t xml:space="preserve">To what extent do you agree or disagree that the proposed councils are the right size to be efficient, improve capacity and withstand financial shocks? </w:t>
      </w:r>
    </w:p>
    <w:p w14:paraId="232330FB" w14:textId="711A74F6" w:rsidR="00A150A3" w:rsidRPr="00A92F3C" w:rsidRDefault="00D21AC4" w:rsidP="00992AEF">
      <w:pPr>
        <w:ind w:firstLine="360"/>
        <w:rPr>
          <w:rFonts w:asciiTheme="majorHAnsi" w:hAnsiTheme="majorHAnsi"/>
        </w:rPr>
      </w:pPr>
      <w:r w:rsidRPr="002714B5">
        <w:rPr>
          <w:rFonts w:asciiTheme="majorHAnsi" w:hAnsiTheme="majorHAnsi"/>
          <w:b/>
          <w:bCs/>
        </w:rPr>
        <w:t>Our scoring answer:</w:t>
      </w:r>
      <w:r w:rsidRPr="00A92F3C">
        <w:rPr>
          <w:rFonts w:asciiTheme="majorHAnsi" w:hAnsiTheme="majorHAnsi"/>
        </w:rPr>
        <w:t xml:space="preserve"> </w:t>
      </w:r>
      <w:r w:rsidR="00A150A3" w:rsidRPr="00A92F3C">
        <w:rPr>
          <w:rFonts w:asciiTheme="majorHAnsi" w:hAnsiTheme="majorHAnsi"/>
        </w:rPr>
        <w:t>Strongly agree</w:t>
      </w:r>
      <w:r w:rsidRPr="00A92F3C">
        <w:rPr>
          <w:rFonts w:asciiTheme="majorHAnsi" w:hAnsiTheme="majorHAnsi"/>
        </w:rPr>
        <w:t>.</w:t>
      </w:r>
    </w:p>
    <w:p w14:paraId="1D3C1FD5" w14:textId="403700D7" w:rsidR="00627A5A" w:rsidRPr="00627A5A"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4EEB70BE" w14:textId="75EB723D" w:rsidR="00BF69EF" w:rsidRDefault="00BF69EF" w:rsidP="00992AEF">
      <w:pPr>
        <w:ind w:left="360"/>
        <w:rPr>
          <w:rFonts w:asciiTheme="majorHAnsi" w:hAnsiTheme="majorHAnsi"/>
        </w:rPr>
      </w:pPr>
      <w:r w:rsidRPr="00A92F3C">
        <w:rPr>
          <w:rFonts w:asciiTheme="majorHAnsi" w:hAnsiTheme="majorHAnsi"/>
        </w:rPr>
        <w:t>Th</w:t>
      </w:r>
      <w:r w:rsidR="00AE5155">
        <w:rPr>
          <w:rFonts w:asciiTheme="majorHAnsi" w:hAnsiTheme="majorHAnsi"/>
        </w:rPr>
        <w:t xml:space="preserve">is model is the </w:t>
      </w:r>
      <w:r w:rsidRPr="00A92F3C">
        <w:rPr>
          <w:rFonts w:asciiTheme="majorHAnsi" w:hAnsiTheme="majorHAnsi"/>
        </w:rPr>
        <w:t>right size to ensure efficiency, resilience, and financial stability</w:t>
      </w:r>
      <w:r w:rsidR="00AE5155">
        <w:rPr>
          <w:rFonts w:asciiTheme="majorHAnsi" w:hAnsiTheme="majorHAnsi"/>
        </w:rPr>
        <w:t xml:space="preserve">. It will </w:t>
      </w:r>
      <w:r w:rsidRPr="00A92F3C">
        <w:rPr>
          <w:rFonts w:asciiTheme="majorHAnsi" w:hAnsiTheme="majorHAnsi"/>
        </w:rPr>
        <w:t>deliver £86m in net savings over five years and £38m in ongoing annual benefits</w:t>
      </w:r>
      <w:r w:rsidR="00B33DFF">
        <w:rPr>
          <w:rFonts w:asciiTheme="majorHAnsi" w:hAnsiTheme="majorHAnsi"/>
        </w:rPr>
        <w:t>, with a total of £387m in savings by 2040 just from re-organisation</w:t>
      </w:r>
      <w:r w:rsidRPr="00A92F3C">
        <w:rPr>
          <w:rFonts w:asciiTheme="majorHAnsi" w:hAnsiTheme="majorHAnsi"/>
        </w:rPr>
        <w:t xml:space="preserve">. </w:t>
      </w:r>
      <w:r w:rsidR="00B33DFF">
        <w:rPr>
          <w:rFonts w:asciiTheme="majorHAnsi" w:hAnsiTheme="majorHAnsi"/>
        </w:rPr>
        <w:t xml:space="preserve"> No other model being proposed will achieve this level of savings.  The three unitary model provides a balance of affluence and deprivation across new authorities, avoiding concentrations of high demand that could render smaller authorities financially unviable</w:t>
      </w:r>
      <w:r w:rsidRPr="00A92F3C">
        <w:rPr>
          <w:rFonts w:asciiTheme="majorHAnsi" w:hAnsiTheme="majorHAnsi"/>
        </w:rPr>
        <w:t xml:space="preserve">, while </w:t>
      </w:r>
      <w:r w:rsidR="0062335B">
        <w:rPr>
          <w:rFonts w:asciiTheme="majorHAnsi" w:hAnsiTheme="majorHAnsi"/>
        </w:rPr>
        <w:t xml:space="preserve">projected </w:t>
      </w:r>
      <w:r w:rsidRPr="00A92F3C">
        <w:rPr>
          <w:rFonts w:asciiTheme="majorHAnsi" w:hAnsiTheme="majorHAnsi"/>
        </w:rPr>
        <w:t>populations of 560,000–730,000 meet government guidance and allow economies of scale. The model also ensures equitable dis</w:t>
      </w:r>
      <w:r w:rsidR="00B33DFF">
        <w:rPr>
          <w:rFonts w:asciiTheme="majorHAnsi" w:hAnsiTheme="majorHAnsi"/>
        </w:rPr>
        <w:t>aggregation</w:t>
      </w:r>
      <w:r w:rsidRPr="00A92F3C">
        <w:rPr>
          <w:rFonts w:asciiTheme="majorHAnsi" w:hAnsiTheme="majorHAnsi"/>
        </w:rPr>
        <w:t xml:space="preserve"> of Essex County Council’s £1.2bn budget, with </w:t>
      </w:r>
      <w:r w:rsidR="00B33DFF">
        <w:rPr>
          <w:rFonts w:asciiTheme="majorHAnsi" w:hAnsiTheme="majorHAnsi"/>
        </w:rPr>
        <w:t>a lower</w:t>
      </w:r>
      <w:r w:rsidRPr="00A92F3C">
        <w:rPr>
          <w:rFonts w:asciiTheme="majorHAnsi" w:hAnsiTheme="majorHAnsi"/>
        </w:rPr>
        <w:t xml:space="preserve"> variation in surpluses and deficits, and spreads </w:t>
      </w:r>
      <w:r w:rsidR="00B33DFF">
        <w:rPr>
          <w:rFonts w:asciiTheme="majorHAnsi" w:hAnsiTheme="majorHAnsi"/>
        </w:rPr>
        <w:t xml:space="preserve">outstanding </w:t>
      </w:r>
      <w:r w:rsidRPr="00A92F3C">
        <w:rPr>
          <w:rFonts w:asciiTheme="majorHAnsi" w:hAnsiTheme="majorHAnsi"/>
        </w:rPr>
        <w:t xml:space="preserve">debt more evenly to avoid new </w:t>
      </w:r>
      <w:r w:rsidR="0062335B">
        <w:rPr>
          <w:rFonts w:asciiTheme="majorHAnsi" w:hAnsiTheme="majorHAnsi"/>
        </w:rPr>
        <w:t>authorities</w:t>
      </w:r>
      <w:r w:rsidRPr="00A92F3C">
        <w:rPr>
          <w:rFonts w:asciiTheme="majorHAnsi" w:hAnsiTheme="majorHAnsi"/>
        </w:rPr>
        <w:t xml:space="preserve"> inheriting unsustainable financial positions.</w:t>
      </w:r>
      <w:r w:rsidR="00C20DF1">
        <w:rPr>
          <w:rFonts w:asciiTheme="majorHAnsi" w:hAnsiTheme="majorHAnsi"/>
        </w:rPr>
        <w:t xml:space="preserve">  The three unitary </w:t>
      </w:r>
      <w:proofErr w:type="gramStart"/>
      <w:r w:rsidR="00C20DF1">
        <w:rPr>
          <w:rFonts w:asciiTheme="majorHAnsi" w:hAnsiTheme="majorHAnsi"/>
        </w:rPr>
        <w:t>proposal</w:t>
      </w:r>
      <w:proofErr w:type="gramEnd"/>
      <w:r w:rsidR="00C20DF1">
        <w:rPr>
          <w:rFonts w:asciiTheme="majorHAnsi" w:hAnsiTheme="majorHAnsi"/>
        </w:rPr>
        <w:t xml:space="preserve"> will enable the creation of a much more preventative model of public service delivery, that is key to improving outcomes and ensuring financial sustainability.</w:t>
      </w:r>
    </w:p>
    <w:p w14:paraId="6C9DFC7F" w14:textId="77777777" w:rsidR="00CE3427" w:rsidRPr="00A92F3C" w:rsidRDefault="00CE3427"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4EC51056" w14:textId="78F95D27" w:rsidR="00B33DFF" w:rsidRDefault="00B33DFF" w:rsidP="00990C08">
      <w:pPr>
        <w:pStyle w:val="ListParagraph"/>
        <w:numPr>
          <w:ilvl w:val="0"/>
          <w:numId w:val="5"/>
        </w:numPr>
        <w:rPr>
          <w:rFonts w:asciiTheme="majorHAnsi" w:hAnsiTheme="majorHAnsi"/>
        </w:rPr>
      </w:pPr>
      <w:r>
        <w:rPr>
          <w:rFonts w:asciiTheme="majorHAnsi" w:hAnsiTheme="majorHAnsi"/>
        </w:rPr>
        <w:t>The financial case for three unitaries – pp 46-</w:t>
      </w:r>
      <w:r w:rsidR="00C20DF1">
        <w:rPr>
          <w:rFonts w:asciiTheme="majorHAnsi" w:hAnsiTheme="majorHAnsi"/>
        </w:rPr>
        <w:t>49</w:t>
      </w:r>
    </w:p>
    <w:p w14:paraId="68A10331" w14:textId="77777777" w:rsidR="00C20DF1" w:rsidRDefault="00C20DF1" w:rsidP="00C20DF1">
      <w:pPr>
        <w:pStyle w:val="ListParagraph"/>
        <w:numPr>
          <w:ilvl w:val="0"/>
          <w:numId w:val="5"/>
        </w:numPr>
        <w:rPr>
          <w:rFonts w:asciiTheme="majorHAnsi" w:hAnsiTheme="majorHAnsi"/>
        </w:rPr>
      </w:pPr>
      <w:r>
        <w:rPr>
          <w:rFonts w:asciiTheme="majorHAnsi" w:hAnsiTheme="majorHAnsi"/>
        </w:rPr>
        <w:t>Options Appraisal – pp 65-68</w:t>
      </w:r>
    </w:p>
    <w:p w14:paraId="30C3EBB5" w14:textId="3889613E" w:rsidR="00C20DF1" w:rsidRDefault="00C20DF1" w:rsidP="00C20DF1">
      <w:pPr>
        <w:pStyle w:val="ListParagraph"/>
        <w:numPr>
          <w:ilvl w:val="0"/>
          <w:numId w:val="5"/>
        </w:numPr>
        <w:rPr>
          <w:rFonts w:asciiTheme="majorHAnsi" w:hAnsiTheme="majorHAnsi"/>
        </w:rPr>
      </w:pPr>
      <w:r>
        <w:rPr>
          <w:rFonts w:asciiTheme="majorHAnsi" w:hAnsiTheme="majorHAnsi"/>
        </w:rPr>
        <w:t>Putting prevention at the heart of public service delivery – pp 170-175</w:t>
      </w:r>
    </w:p>
    <w:p w14:paraId="4E46FF35" w14:textId="173B361B" w:rsidR="00C20DF1" w:rsidRDefault="00C20DF1" w:rsidP="00C20DF1">
      <w:pPr>
        <w:pStyle w:val="ListParagraph"/>
        <w:numPr>
          <w:ilvl w:val="0"/>
          <w:numId w:val="5"/>
        </w:numPr>
        <w:rPr>
          <w:rFonts w:asciiTheme="majorHAnsi" w:hAnsiTheme="majorHAnsi"/>
        </w:rPr>
      </w:pPr>
      <w:r>
        <w:rPr>
          <w:rFonts w:asciiTheme="majorHAnsi" w:hAnsiTheme="majorHAnsi"/>
        </w:rPr>
        <w:t>Efficient and sustainable public services – pp 188-224</w:t>
      </w:r>
    </w:p>
    <w:p w14:paraId="2E9FEFF0" w14:textId="14B97C1C" w:rsidR="002A3B85" w:rsidRPr="00990C08" w:rsidRDefault="002A3B85" w:rsidP="00C20DF1">
      <w:pPr>
        <w:pStyle w:val="ListParagraph"/>
        <w:rPr>
          <w:rFonts w:asciiTheme="majorHAnsi" w:hAnsiTheme="majorHAnsi"/>
        </w:rPr>
      </w:pPr>
    </w:p>
    <w:p w14:paraId="377FD115" w14:textId="617C46E2" w:rsidR="00E42D88"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Q4</w:t>
      </w:r>
      <w:r w:rsidRPr="00992AEF">
        <w:rPr>
          <w:rFonts w:asciiTheme="majorHAnsi" w:hAnsiTheme="majorHAnsi"/>
          <w:b/>
          <w:bCs/>
          <w:color w:val="0070C0"/>
        </w:rPr>
        <w:tab/>
      </w:r>
      <w:r w:rsidR="00E42D88" w:rsidRPr="00992AEF">
        <w:rPr>
          <w:rFonts w:asciiTheme="majorHAnsi" w:hAnsiTheme="majorHAnsi"/>
          <w:b/>
          <w:bCs/>
          <w:color w:val="0070C0"/>
        </w:rPr>
        <w:t xml:space="preserve">To what extent do you agree or disagree that this proposal will put local government in the area </w:t>
      </w:r>
      <w:proofErr w:type="gramStart"/>
      <w:r w:rsidR="00E42D88" w:rsidRPr="00992AEF">
        <w:rPr>
          <w:rFonts w:asciiTheme="majorHAnsi" w:hAnsiTheme="majorHAnsi"/>
          <w:b/>
          <w:bCs/>
          <w:color w:val="0070C0"/>
        </w:rPr>
        <w:t>as a whole on</w:t>
      </w:r>
      <w:proofErr w:type="gramEnd"/>
      <w:r w:rsidR="00E42D88" w:rsidRPr="00992AEF">
        <w:rPr>
          <w:rFonts w:asciiTheme="majorHAnsi" w:hAnsiTheme="majorHAnsi"/>
          <w:b/>
          <w:bCs/>
          <w:color w:val="0070C0"/>
        </w:rPr>
        <w:t xml:space="preserve"> a firmer footing, particularly given that some councils in the area are in Best Value intervention and in receipt of exceptional financial support? </w:t>
      </w:r>
    </w:p>
    <w:p w14:paraId="737DADC2" w14:textId="1F645993" w:rsidR="00E42D88" w:rsidRPr="00A92F3C" w:rsidRDefault="00D21AC4" w:rsidP="00992AEF">
      <w:pPr>
        <w:ind w:firstLine="360"/>
        <w:rPr>
          <w:rFonts w:asciiTheme="majorHAnsi" w:hAnsiTheme="majorHAnsi"/>
        </w:rPr>
      </w:pPr>
      <w:r w:rsidRPr="002714B5">
        <w:rPr>
          <w:rFonts w:asciiTheme="majorHAnsi" w:hAnsiTheme="majorHAnsi"/>
          <w:b/>
          <w:bCs/>
        </w:rPr>
        <w:lastRenderedPageBreak/>
        <w:t>Our scoring answer:</w:t>
      </w:r>
      <w:r w:rsidRPr="00A92F3C">
        <w:rPr>
          <w:rFonts w:asciiTheme="majorHAnsi" w:hAnsiTheme="majorHAnsi"/>
        </w:rPr>
        <w:t xml:space="preserve"> </w:t>
      </w:r>
      <w:r w:rsidR="00E42D88" w:rsidRPr="00A92F3C">
        <w:rPr>
          <w:rFonts w:asciiTheme="majorHAnsi" w:hAnsiTheme="majorHAnsi"/>
        </w:rPr>
        <w:t>Strongly agree</w:t>
      </w:r>
      <w:r w:rsidRPr="00A92F3C">
        <w:rPr>
          <w:rFonts w:asciiTheme="majorHAnsi" w:hAnsiTheme="majorHAnsi"/>
        </w:rPr>
        <w:t>.</w:t>
      </w:r>
    </w:p>
    <w:p w14:paraId="31AF9DCD" w14:textId="240B2E98" w:rsidR="00627A5A" w:rsidRPr="00627A5A"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0FA70670" w14:textId="3F7A2689" w:rsidR="00B2760A" w:rsidRDefault="00B2760A" w:rsidP="00992AEF">
      <w:pPr>
        <w:ind w:left="360"/>
        <w:rPr>
          <w:rFonts w:asciiTheme="majorHAnsi" w:hAnsiTheme="majorHAnsi"/>
        </w:rPr>
      </w:pPr>
      <w:r w:rsidRPr="00B2760A">
        <w:rPr>
          <w:rFonts w:asciiTheme="majorHAnsi" w:hAnsiTheme="majorHAnsi"/>
        </w:rPr>
        <w:t xml:space="preserve">Thurrock Council is currently in receipt of Exceptional Financial Support.  It has been agreed with Thurrock Commissioners that all Greater Essex business cases should be modelled on the assumption that at least 50% of the Thurrock stranded debt is resolved with Government, and that Thurrock Council will continue to take robust measures to pay down remaining debt in advance of the vesting of new authorities in 2028.  Our three unitary </w:t>
      </w:r>
      <w:proofErr w:type="gramStart"/>
      <w:r w:rsidRPr="00B2760A">
        <w:rPr>
          <w:rFonts w:asciiTheme="majorHAnsi" w:hAnsiTheme="majorHAnsi"/>
        </w:rPr>
        <w:t>proposal</w:t>
      </w:r>
      <w:proofErr w:type="gramEnd"/>
      <w:r w:rsidRPr="00B2760A">
        <w:rPr>
          <w:rFonts w:asciiTheme="majorHAnsi" w:hAnsiTheme="majorHAnsi"/>
        </w:rPr>
        <w:t xml:space="preserve"> will put the local government system on a firmer footing in this context by being the most effective model at managing debt and building resilience (as described above).  Our LGR proposal document also sets out a range of measures for providing enhanced training and support for elected councillors.  This will help to ensure effective democratic leadership and oversight, reducing the risk of future councils getting into difficulties and needing Exceptional Financial Support.</w:t>
      </w:r>
    </w:p>
    <w:p w14:paraId="1E0BCF74" w14:textId="77777777" w:rsidR="00CE3427" w:rsidRPr="00A92F3C" w:rsidRDefault="00CE3427"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243E2689" w14:textId="77777777" w:rsidR="00B2760A" w:rsidRDefault="00B2760A" w:rsidP="00B2760A">
      <w:pPr>
        <w:pStyle w:val="ListParagraph"/>
        <w:numPr>
          <w:ilvl w:val="0"/>
          <w:numId w:val="6"/>
        </w:numPr>
        <w:rPr>
          <w:rFonts w:asciiTheme="majorHAnsi" w:hAnsiTheme="majorHAnsi"/>
        </w:rPr>
      </w:pPr>
      <w:r>
        <w:rPr>
          <w:rFonts w:asciiTheme="majorHAnsi" w:hAnsiTheme="majorHAnsi"/>
        </w:rPr>
        <w:t>The financial case for three unitaries – pp 46-49</w:t>
      </w:r>
    </w:p>
    <w:p w14:paraId="0FD57CC2" w14:textId="32DF3C74" w:rsidR="00B2760A" w:rsidRPr="00B2760A" w:rsidRDefault="00B2760A" w:rsidP="00B2760A">
      <w:pPr>
        <w:pStyle w:val="ListParagraph"/>
        <w:numPr>
          <w:ilvl w:val="0"/>
          <w:numId w:val="6"/>
        </w:numPr>
        <w:rPr>
          <w:rFonts w:asciiTheme="majorHAnsi" w:hAnsiTheme="majorHAnsi"/>
        </w:rPr>
      </w:pPr>
      <w:r>
        <w:rPr>
          <w:rFonts w:asciiTheme="majorHAnsi" w:hAnsiTheme="majorHAnsi"/>
        </w:rPr>
        <w:t>Options Appraisal – pp 65-68</w:t>
      </w:r>
    </w:p>
    <w:p w14:paraId="05CCD4C9" w14:textId="3C285C73" w:rsidR="00CE3427" w:rsidRDefault="00536191" w:rsidP="00A45560">
      <w:pPr>
        <w:pStyle w:val="ListParagraph"/>
        <w:numPr>
          <w:ilvl w:val="0"/>
          <w:numId w:val="6"/>
        </w:numPr>
        <w:rPr>
          <w:rFonts w:asciiTheme="majorHAnsi" w:hAnsiTheme="majorHAnsi"/>
        </w:rPr>
      </w:pPr>
      <w:r w:rsidRPr="00A45560">
        <w:rPr>
          <w:rFonts w:asciiTheme="majorHAnsi" w:hAnsiTheme="majorHAnsi"/>
        </w:rPr>
        <w:t xml:space="preserve">Exceptional Financial Support </w:t>
      </w:r>
      <w:r w:rsidR="00CE2374" w:rsidRPr="00A45560">
        <w:rPr>
          <w:rFonts w:asciiTheme="majorHAnsi" w:hAnsiTheme="majorHAnsi"/>
        </w:rPr>
        <w:t>–</w:t>
      </w:r>
      <w:r w:rsidRPr="00A45560">
        <w:rPr>
          <w:rFonts w:asciiTheme="majorHAnsi" w:hAnsiTheme="majorHAnsi"/>
        </w:rPr>
        <w:t xml:space="preserve"> </w:t>
      </w:r>
      <w:r w:rsidR="00A45560" w:rsidRPr="00A45560">
        <w:rPr>
          <w:rFonts w:asciiTheme="majorHAnsi" w:hAnsiTheme="majorHAnsi"/>
        </w:rPr>
        <w:t xml:space="preserve">pp </w:t>
      </w:r>
      <w:r w:rsidR="00CE2374" w:rsidRPr="00A45560">
        <w:rPr>
          <w:rFonts w:asciiTheme="majorHAnsi" w:hAnsiTheme="majorHAnsi"/>
        </w:rPr>
        <w:t>195-</w:t>
      </w:r>
      <w:r w:rsidR="00286201" w:rsidRPr="00A45560">
        <w:rPr>
          <w:rFonts w:asciiTheme="majorHAnsi" w:hAnsiTheme="majorHAnsi"/>
        </w:rPr>
        <w:t xml:space="preserve">203 </w:t>
      </w:r>
    </w:p>
    <w:p w14:paraId="4BD88D39" w14:textId="44BD6C55" w:rsidR="00B2760A" w:rsidRPr="00A45560" w:rsidRDefault="00B2760A" w:rsidP="00A45560">
      <w:pPr>
        <w:pStyle w:val="ListParagraph"/>
        <w:numPr>
          <w:ilvl w:val="0"/>
          <w:numId w:val="6"/>
        </w:numPr>
        <w:rPr>
          <w:rFonts w:asciiTheme="majorHAnsi" w:hAnsiTheme="majorHAnsi"/>
        </w:rPr>
      </w:pPr>
      <w:r>
        <w:rPr>
          <w:rFonts w:asciiTheme="majorHAnsi" w:hAnsiTheme="majorHAnsi"/>
        </w:rPr>
        <w:t>Support for local councillors – pp 110-113</w:t>
      </w:r>
    </w:p>
    <w:p w14:paraId="76DDF5B7" w14:textId="77777777" w:rsidR="00B2760A" w:rsidRPr="00992AEF" w:rsidRDefault="00B2760A" w:rsidP="00B2760A">
      <w:pPr>
        <w:pStyle w:val="ListParagraph"/>
        <w:rPr>
          <w:rFonts w:asciiTheme="majorHAnsi" w:hAnsiTheme="majorHAnsi"/>
          <w:b/>
          <w:bCs/>
          <w:color w:val="0070C0"/>
        </w:rPr>
      </w:pPr>
    </w:p>
    <w:p w14:paraId="389AE81D" w14:textId="259DF882" w:rsidR="001F7BE8"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Q5</w:t>
      </w:r>
      <w:r w:rsidRPr="00992AEF">
        <w:rPr>
          <w:rFonts w:asciiTheme="majorHAnsi" w:hAnsiTheme="majorHAnsi"/>
          <w:b/>
          <w:bCs/>
          <w:color w:val="0070C0"/>
        </w:rPr>
        <w:tab/>
      </w:r>
      <w:r w:rsidR="001F7BE8" w:rsidRPr="00992AEF">
        <w:rPr>
          <w:rFonts w:asciiTheme="majorHAnsi" w:hAnsiTheme="majorHAnsi"/>
          <w:b/>
          <w:bCs/>
          <w:color w:val="0070C0"/>
        </w:rPr>
        <w:t>To what extent do you agree or disagree that the proposed councils will deliver high quality, sustainable public services?</w:t>
      </w:r>
    </w:p>
    <w:p w14:paraId="1DAE08F9" w14:textId="577D34C5" w:rsidR="001F7BE8" w:rsidRPr="00A92F3C" w:rsidRDefault="00E129B1" w:rsidP="00992AEF">
      <w:pPr>
        <w:ind w:firstLine="360"/>
        <w:rPr>
          <w:rFonts w:asciiTheme="majorHAnsi" w:hAnsiTheme="majorHAnsi"/>
        </w:rPr>
      </w:pPr>
      <w:r w:rsidRPr="002714B5">
        <w:rPr>
          <w:rFonts w:asciiTheme="majorHAnsi" w:hAnsiTheme="majorHAnsi"/>
          <w:b/>
          <w:bCs/>
        </w:rPr>
        <w:t>Our scoring answer:</w:t>
      </w:r>
      <w:r w:rsidRPr="00A92F3C">
        <w:rPr>
          <w:rFonts w:asciiTheme="majorHAnsi" w:hAnsiTheme="majorHAnsi"/>
        </w:rPr>
        <w:t xml:space="preserve"> </w:t>
      </w:r>
      <w:r w:rsidR="001F7BE8" w:rsidRPr="00A92F3C">
        <w:rPr>
          <w:rFonts w:asciiTheme="majorHAnsi" w:hAnsiTheme="majorHAnsi"/>
        </w:rPr>
        <w:t>Strongly agree</w:t>
      </w:r>
      <w:r w:rsidRPr="00A92F3C">
        <w:rPr>
          <w:rFonts w:asciiTheme="majorHAnsi" w:hAnsiTheme="majorHAnsi"/>
        </w:rPr>
        <w:t>.</w:t>
      </w:r>
    </w:p>
    <w:p w14:paraId="5C075269" w14:textId="77777777" w:rsidR="00627A5A" w:rsidRPr="00627A5A"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4A2D37C4" w14:textId="295B3C13" w:rsidR="00DF1792" w:rsidRDefault="00DF1792" w:rsidP="00992AEF">
      <w:pPr>
        <w:ind w:left="360"/>
        <w:rPr>
          <w:rFonts w:asciiTheme="majorHAnsi" w:hAnsiTheme="majorHAnsi"/>
        </w:rPr>
      </w:pPr>
      <w:r w:rsidRPr="00A92F3C">
        <w:rPr>
          <w:rFonts w:asciiTheme="majorHAnsi" w:hAnsiTheme="majorHAnsi"/>
        </w:rPr>
        <w:t>Th</w:t>
      </w:r>
      <w:r w:rsidR="007A2A51">
        <w:rPr>
          <w:rFonts w:asciiTheme="majorHAnsi" w:hAnsiTheme="majorHAnsi"/>
        </w:rPr>
        <w:t>is model will</w:t>
      </w:r>
      <w:r w:rsidRPr="00A92F3C">
        <w:rPr>
          <w:rFonts w:asciiTheme="majorHAnsi" w:hAnsiTheme="majorHAnsi"/>
        </w:rPr>
        <w:t xml:space="preserve"> deliver high quality, sustainable public services by ensuring councils have the scale and resilience to manage rising demand in critical areas </w:t>
      </w:r>
      <w:r w:rsidR="007A2A51">
        <w:rPr>
          <w:rFonts w:asciiTheme="majorHAnsi" w:hAnsiTheme="majorHAnsi"/>
        </w:rPr>
        <w:t>such as</w:t>
      </w:r>
      <w:r w:rsidRPr="00A92F3C">
        <w:rPr>
          <w:rFonts w:asciiTheme="majorHAnsi" w:hAnsiTheme="majorHAnsi"/>
        </w:rPr>
        <w:t xml:space="preserve"> social care, children’s services, and homelessness, while avoiding fragmentation of already high-performing services. </w:t>
      </w:r>
      <w:r w:rsidR="007A2A51">
        <w:rPr>
          <w:rFonts w:asciiTheme="majorHAnsi" w:hAnsiTheme="majorHAnsi"/>
        </w:rPr>
        <w:t>The model</w:t>
      </w:r>
      <w:r w:rsidRPr="00A92F3C">
        <w:rPr>
          <w:rFonts w:asciiTheme="majorHAnsi" w:hAnsiTheme="majorHAnsi"/>
        </w:rPr>
        <w:t xml:space="preserve"> integrates county and district functions to make services more accessible and </w:t>
      </w:r>
      <w:r w:rsidR="007A2A51">
        <w:rPr>
          <w:rFonts w:asciiTheme="majorHAnsi" w:hAnsiTheme="majorHAnsi"/>
        </w:rPr>
        <w:t xml:space="preserve">to make services </w:t>
      </w:r>
      <w:r w:rsidRPr="00A92F3C">
        <w:rPr>
          <w:rFonts w:asciiTheme="majorHAnsi" w:hAnsiTheme="majorHAnsi"/>
        </w:rPr>
        <w:t>better tailored to local needs, creat</w:t>
      </w:r>
      <w:r w:rsidR="002268B8">
        <w:rPr>
          <w:rFonts w:asciiTheme="majorHAnsi" w:hAnsiTheme="majorHAnsi"/>
        </w:rPr>
        <w:t>ing</w:t>
      </w:r>
      <w:r w:rsidRPr="00A92F3C">
        <w:rPr>
          <w:rFonts w:asciiTheme="majorHAnsi" w:hAnsiTheme="majorHAnsi"/>
        </w:rPr>
        <w:t xml:space="preserve"> financial headroom for investment in prevention and community-based approaches, and simplifies </w:t>
      </w:r>
      <w:r w:rsidR="002268B8">
        <w:rPr>
          <w:rFonts w:asciiTheme="majorHAnsi" w:hAnsiTheme="majorHAnsi"/>
        </w:rPr>
        <w:t xml:space="preserve">the </w:t>
      </w:r>
      <w:r w:rsidRPr="00A92F3C">
        <w:rPr>
          <w:rFonts w:asciiTheme="majorHAnsi" w:hAnsiTheme="majorHAnsi"/>
        </w:rPr>
        <w:t xml:space="preserve">transition by reducing duplication of authorities and regulatory burdens. By fostering collaboration with the NHS, Police, voluntary sector, and other partners, </w:t>
      </w:r>
      <w:r w:rsidR="002268B8">
        <w:rPr>
          <w:rFonts w:asciiTheme="majorHAnsi" w:hAnsiTheme="majorHAnsi"/>
        </w:rPr>
        <w:t>our</w:t>
      </w:r>
      <w:r w:rsidRPr="00A92F3C">
        <w:rPr>
          <w:rFonts w:asciiTheme="majorHAnsi" w:hAnsiTheme="majorHAnsi"/>
        </w:rPr>
        <w:t xml:space="preserve"> model </w:t>
      </w:r>
      <w:r w:rsidR="002268B8">
        <w:rPr>
          <w:rFonts w:asciiTheme="majorHAnsi" w:hAnsiTheme="majorHAnsi"/>
        </w:rPr>
        <w:t xml:space="preserve">will </w:t>
      </w:r>
      <w:r w:rsidRPr="00A92F3C">
        <w:rPr>
          <w:rFonts w:asciiTheme="majorHAnsi" w:hAnsiTheme="majorHAnsi"/>
        </w:rPr>
        <w:t xml:space="preserve">enable Greater Essex to operate as a cohesive system </w:t>
      </w:r>
      <w:r w:rsidR="000C6063">
        <w:rPr>
          <w:rFonts w:asciiTheme="majorHAnsi" w:hAnsiTheme="majorHAnsi"/>
        </w:rPr>
        <w:t xml:space="preserve">that is </w:t>
      </w:r>
      <w:r w:rsidRPr="00A92F3C">
        <w:rPr>
          <w:rFonts w:asciiTheme="majorHAnsi" w:hAnsiTheme="majorHAnsi"/>
        </w:rPr>
        <w:t>focused on shared objectives rather than fragmented siloes.</w:t>
      </w:r>
    </w:p>
    <w:p w14:paraId="739C70B1" w14:textId="77777777" w:rsidR="00CE3427" w:rsidRPr="00A92F3C" w:rsidRDefault="00CE3427"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23E31D64" w14:textId="1A347005" w:rsidR="00B2760A" w:rsidRDefault="00B2760A" w:rsidP="005C1401">
      <w:pPr>
        <w:pStyle w:val="ListParagraph"/>
        <w:numPr>
          <w:ilvl w:val="0"/>
          <w:numId w:val="7"/>
        </w:numPr>
        <w:rPr>
          <w:rFonts w:asciiTheme="majorHAnsi" w:hAnsiTheme="majorHAnsi"/>
        </w:rPr>
      </w:pPr>
      <w:r>
        <w:rPr>
          <w:rFonts w:asciiTheme="majorHAnsi" w:hAnsiTheme="majorHAnsi"/>
        </w:rPr>
        <w:t>Options Appraisal – pp 65-68</w:t>
      </w:r>
    </w:p>
    <w:p w14:paraId="5FEA7563" w14:textId="31F1CA1A" w:rsidR="00B753C6" w:rsidRDefault="00B753C6" w:rsidP="005C1401">
      <w:pPr>
        <w:pStyle w:val="ListParagraph"/>
        <w:numPr>
          <w:ilvl w:val="0"/>
          <w:numId w:val="7"/>
        </w:numPr>
        <w:rPr>
          <w:rFonts w:asciiTheme="majorHAnsi" w:hAnsiTheme="majorHAnsi"/>
        </w:rPr>
      </w:pPr>
      <w:r>
        <w:rPr>
          <w:rFonts w:asciiTheme="majorHAnsi" w:hAnsiTheme="majorHAnsi"/>
        </w:rPr>
        <w:t>Sustaining and improving critical services - pp140-158</w:t>
      </w:r>
    </w:p>
    <w:p w14:paraId="048F08BD" w14:textId="77777777" w:rsidR="00B2760A" w:rsidRDefault="00B2760A" w:rsidP="00B2760A">
      <w:pPr>
        <w:pStyle w:val="ListParagraph"/>
        <w:numPr>
          <w:ilvl w:val="0"/>
          <w:numId w:val="7"/>
        </w:numPr>
        <w:rPr>
          <w:rFonts w:asciiTheme="majorHAnsi" w:hAnsiTheme="majorHAnsi"/>
        </w:rPr>
      </w:pPr>
      <w:r>
        <w:rPr>
          <w:rFonts w:asciiTheme="majorHAnsi" w:hAnsiTheme="majorHAnsi"/>
        </w:rPr>
        <w:t>Putting prevention at the heart of public service delivery – pp 170-175</w:t>
      </w:r>
    </w:p>
    <w:p w14:paraId="0D32FF32" w14:textId="33DEA7C9" w:rsidR="00B2760A" w:rsidRDefault="00A758DB" w:rsidP="00B2760A">
      <w:pPr>
        <w:pStyle w:val="ListParagraph"/>
        <w:numPr>
          <w:ilvl w:val="0"/>
          <w:numId w:val="7"/>
        </w:numPr>
        <w:rPr>
          <w:rFonts w:asciiTheme="majorHAnsi" w:hAnsiTheme="majorHAnsi"/>
        </w:rPr>
      </w:pPr>
      <w:r>
        <w:rPr>
          <w:rFonts w:asciiTheme="majorHAnsi" w:hAnsiTheme="majorHAnsi"/>
        </w:rPr>
        <w:t>Localism and public services – pp 102-116</w:t>
      </w:r>
    </w:p>
    <w:p w14:paraId="6F175EA4" w14:textId="1B6787A5" w:rsidR="00A758DB" w:rsidRDefault="00A758DB" w:rsidP="00B2760A">
      <w:pPr>
        <w:pStyle w:val="ListParagraph"/>
        <w:numPr>
          <w:ilvl w:val="0"/>
          <w:numId w:val="7"/>
        </w:numPr>
        <w:rPr>
          <w:rFonts w:asciiTheme="majorHAnsi" w:hAnsiTheme="majorHAnsi"/>
        </w:rPr>
      </w:pPr>
      <w:r>
        <w:rPr>
          <w:rFonts w:asciiTheme="majorHAnsi" w:hAnsiTheme="majorHAnsi"/>
        </w:rPr>
        <w:t>Public service reform – pp 226-233</w:t>
      </w:r>
    </w:p>
    <w:p w14:paraId="326FCBB1" w14:textId="4D5F0E91" w:rsidR="00A758DB" w:rsidRDefault="00A758DB" w:rsidP="00B2760A">
      <w:pPr>
        <w:pStyle w:val="ListParagraph"/>
        <w:numPr>
          <w:ilvl w:val="0"/>
          <w:numId w:val="7"/>
        </w:numPr>
        <w:rPr>
          <w:rFonts w:asciiTheme="majorHAnsi" w:hAnsiTheme="majorHAnsi"/>
        </w:rPr>
      </w:pPr>
      <w:r>
        <w:rPr>
          <w:rFonts w:asciiTheme="majorHAnsi" w:hAnsiTheme="majorHAnsi"/>
        </w:rPr>
        <w:t>Managing transition – pp 236-250</w:t>
      </w:r>
    </w:p>
    <w:p w14:paraId="0A9155A3" w14:textId="77777777" w:rsidR="00B2760A" w:rsidRDefault="00B2760A" w:rsidP="00B2760A">
      <w:pPr>
        <w:pStyle w:val="ListParagraph"/>
        <w:rPr>
          <w:rFonts w:asciiTheme="majorHAnsi" w:hAnsiTheme="majorHAnsi"/>
        </w:rPr>
      </w:pPr>
    </w:p>
    <w:p w14:paraId="6C85C395" w14:textId="35037684" w:rsidR="00C35B2F"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Q6</w:t>
      </w:r>
      <w:r w:rsidRPr="00992AEF">
        <w:rPr>
          <w:rFonts w:asciiTheme="majorHAnsi" w:hAnsiTheme="majorHAnsi"/>
          <w:b/>
          <w:bCs/>
          <w:color w:val="0070C0"/>
        </w:rPr>
        <w:tab/>
      </w:r>
      <w:r w:rsidR="00C35B2F" w:rsidRPr="00992AEF">
        <w:rPr>
          <w:rFonts w:asciiTheme="majorHAnsi" w:hAnsiTheme="majorHAnsi"/>
          <w:b/>
          <w:bCs/>
          <w:color w:val="0070C0"/>
        </w:rPr>
        <w:t xml:space="preserve">To what extent do you agree or disagree that the proposal has been informed by local views and will meet local needs? </w:t>
      </w:r>
    </w:p>
    <w:p w14:paraId="1E5A2E3D" w14:textId="4FDB671E" w:rsidR="00C35B2F" w:rsidRPr="00A92F3C" w:rsidRDefault="00AD5E0D" w:rsidP="00992AEF">
      <w:pPr>
        <w:ind w:firstLine="360"/>
        <w:rPr>
          <w:rFonts w:asciiTheme="majorHAnsi" w:hAnsiTheme="majorHAnsi"/>
        </w:rPr>
      </w:pPr>
      <w:r w:rsidRPr="002714B5">
        <w:rPr>
          <w:rFonts w:asciiTheme="majorHAnsi" w:hAnsiTheme="majorHAnsi"/>
          <w:b/>
          <w:bCs/>
        </w:rPr>
        <w:t>Our scoring answer:</w:t>
      </w:r>
      <w:r w:rsidRPr="00A92F3C">
        <w:rPr>
          <w:rFonts w:asciiTheme="majorHAnsi" w:hAnsiTheme="majorHAnsi"/>
        </w:rPr>
        <w:t xml:space="preserve"> </w:t>
      </w:r>
      <w:r w:rsidR="00C35B2F" w:rsidRPr="00A92F3C">
        <w:rPr>
          <w:rFonts w:asciiTheme="majorHAnsi" w:hAnsiTheme="majorHAnsi"/>
        </w:rPr>
        <w:t>Strongly agree</w:t>
      </w:r>
      <w:r w:rsidRPr="00A92F3C">
        <w:rPr>
          <w:rFonts w:asciiTheme="majorHAnsi" w:hAnsiTheme="majorHAnsi"/>
        </w:rPr>
        <w:t>.</w:t>
      </w:r>
    </w:p>
    <w:p w14:paraId="07373A53" w14:textId="2ED4858B" w:rsidR="00627A5A" w:rsidRPr="00627A5A"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09975A35" w14:textId="47028755" w:rsidR="00F82662" w:rsidRDefault="00F82662" w:rsidP="00992AEF">
      <w:pPr>
        <w:ind w:left="360"/>
        <w:rPr>
          <w:rFonts w:asciiTheme="majorHAnsi" w:hAnsiTheme="majorHAnsi"/>
        </w:rPr>
      </w:pPr>
      <w:r w:rsidRPr="00A92F3C">
        <w:rPr>
          <w:rFonts w:asciiTheme="majorHAnsi" w:hAnsiTheme="majorHAnsi"/>
        </w:rPr>
        <w:t>Th</w:t>
      </w:r>
      <w:r w:rsidR="005E5F0D">
        <w:rPr>
          <w:rFonts w:asciiTheme="majorHAnsi" w:hAnsiTheme="majorHAnsi"/>
        </w:rPr>
        <w:t>is model has been</w:t>
      </w:r>
      <w:r w:rsidRPr="00A92F3C">
        <w:rPr>
          <w:rFonts w:asciiTheme="majorHAnsi" w:hAnsiTheme="majorHAnsi"/>
        </w:rPr>
        <w:t xml:space="preserve"> informed by local views and</w:t>
      </w:r>
      <w:r w:rsidR="005E5F0D">
        <w:rPr>
          <w:rFonts w:asciiTheme="majorHAnsi" w:hAnsiTheme="majorHAnsi"/>
        </w:rPr>
        <w:t xml:space="preserve"> was</w:t>
      </w:r>
      <w:r w:rsidRPr="00A92F3C">
        <w:rPr>
          <w:rFonts w:asciiTheme="majorHAnsi" w:hAnsiTheme="majorHAnsi"/>
        </w:rPr>
        <w:t xml:space="preserve"> designed to meet local needs, with a joint survey showing residents’ top priorities are</w:t>
      </w:r>
      <w:r w:rsidR="005E5F0D">
        <w:rPr>
          <w:rFonts w:asciiTheme="majorHAnsi" w:hAnsiTheme="majorHAnsi"/>
        </w:rPr>
        <w:t xml:space="preserve"> both</w:t>
      </w:r>
      <w:r w:rsidRPr="00A92F3C">
        <w:rPr>
          <w:rFonts w:asciiTheme="majorHAnsi" w:hAnsiTheme="majorHAnsi"/>
        </w:rPr>
        <w:t xml:space="preserve"> better services and better value for money. It is the only model </w:t>
      </w:r>
      <w:r w:rsidR="005E5F0D">
        <w:rPr>
          <w:rFonts w:asciiTheme="majorHAnsi" w:hAnsiTheme="majorHAnsi"/>
        </w:rPr>
        <w:t xml:space="preserve">of those proposed </w:t>
      </w:r>
      <w:r w:rsidRPr="00A92F3C">
        <w:rPr>
          <w:rFonts w:asciiTheme="majorHAnsi" w:hAnsiTheme="majorHAnsi"/>
        </w:rPr>
        <w:t xml:space="preserve">that delivers financial savings within the first five years, allowing reinvestment into public services and keeping taxes low rather than funding extra bureaucracy. Alongside these savings, the proposal supports economic growth and embeds strong measures </w:t>
      </w:r>
      <w:r w:rsidR="005E5F0D">
        <w:rPr>
          <w:rFonts w:asciiTheme="majorHAnsi" w:hAnsiTheme="majorHAnsi"/>
        </w:rPr>
        <w:t>for</w:t>
      </w:r>
      <w:r w:rsidRPr="00A92F3C">
        <w:rPr>
          <w:rFonts w:asciiTheme="majorHAnsi" w:hAnsiTheme="majorHAnsi"/>
        </w:rPr>
        <w:t xml:space="preserve"> localism</w:t>
      </w:r>
      <w:r w:rsidR="005E5F0D">
        <w:rPr>
          <w:rFonts w:asciiTheme="majorHAnsi" w:hAnsiTheme="majorHAnsi"/>
        </w:rPr>
        <w:t xml:space="preserve">, </w:t>
      </w:r>
      <w:r w:rsidRPr="00A92F3C">
        <w:rPr>
          <w:rFonts w:asciiTheme="majorHAnsi" w:hAnsiTheme="majorHAnsi"/>
        </w:rPr>
        <w:t>ensur</w:t>
      </w:r>
      <w:r w:rsidR="005E5F0D">
        <w:rPr>
          <w:rFonts w:asciiTheme="majorHAnsi" w:hAnsiTheme="majorHAnsi"/>
        </w:rPr>
        <w:t>ing</w:t>
      </w:r>
      <w:r w:rsidRPr="00A92F3C">
        <w:rPr>
          <w:rFonts w:asciiTheme="majorHAnsi" w:hAnsiTheme="majorHAnsi"/>
        </w:rPr>
        <w:t xml:space="preserve"> that improvements are felt not just across Greater Essex as a whole</w:t>
      </w:r>
      <w:r w:rsidR="005E5F0D">
        <w:rPr>
          <w:rFonts w:asciiTheme="majorHAnsi" w:hAnsiTheme="majorHAnsi"/>
        </w:rPr>
        <w:t>,</w:t>
      </w:r>
      <w:r w:rsidRPr="00A92F3C">
        <w:rPr>
          <w:rFonts w:asciiTheme="majorHAnsi" w:hAnsiTheme="majorHAnsi"/>
        </w:rPr>
        <w:t xml:space="preserve"> but within every neighbourhood.</w:t>
      </w:r>
    </w:p>
    <w:p w14:paraId="5182714C" w14:textId="77777777" w:rsidR="00CE3427" w:rsidRPr="00A92F3C" w:rsidRDefault="00CE3427"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0D50A6B8" w14:textId="416142FA" w:rsidR="00A758DB" w:rsidRPr="00A758DB" w:rsidRDefault="00A758DB" w:rsidP="00A758DB">
      <w:pPr>
        <w:pStyle w:val="ListParagraph"/>
        <w:numPr>
          <w:ilvl w:val="0"/>
          <w:numId w:val="8"/>
        </w:numPr>
        <w:rPr>
          <w:rFonts w:asciiTheme="majorHAnsi" w:hAnsiTheme="majorHAnsi"/>
        </w:rPr>
      </w:pPr>
      <w:r>
        <w:rPr>
          <w:rFonts w:asciiTheme="majorHAnsi" w:hAnsiTheme="majorHAnsi"/>
        </w:rPr>
        <w:t>How we have developed our proposal – pp 26-37</w:t>
      </w:r>
    </w:p>
    <w:p w14:paraId="2DFF73B6" w14:textId="479A80EC" w:rsidR="00A758DB" w:rsidRDefault="00A758DB" w:rsidP="00A758DB">
      <w:pPr>
        <w:pStyle w:val="ListParagraph"/>
        <w:numPr>
          <w:ilvl w:val="0"/>
          <w:numId w:val="8"/>
        </w:numPr>
        <w:rPr>
          <w:rFonts w:asciiTheme="majorHAnsi" w:hAnsiTheme="majorHAnsi"/>
        </w:rPr>
      </w:pPr>
      <w:r>
        <w:rPr>
          <w:rFonts w:asciiTheme="majorHAnsi" w:hAnsiTheme="majorHAnsi"/>
        </w:rPr>
        <w:t>Options Appraisal – pp 65-68</w:t>
      </w:r>
    </w:p>
    <w:p w14:paraId="1B306FA4" w14:textId="358ABB57" w:rsidR="00A758DB" w:rsidRPr="00A758DB" w:rsidRDefault="00A758DB" w:rsidP="00A758DB">
      <w:pPr>
        <w:pStyle w:val="ListParagraph"/>
        <w:numPr>
          <w:ilvl w:val="0"/>
          <w:numId w:val="8"/>
        </w:numPr>
        <w:rPr>
          <w:rFonts w:asciiTheme="majorHAnsi" w:hAnsiTheme="majorHAnsi"/>
        </w:rPr>
      </w:pPr>
      <w:r>
        <w:rPr>
          <w:rFonts w:asciiTheme="majorHAnsi" w:hAnsiTheme="majorHAnsi"/>
        </w:rPr>
        <w:t>Localism and public services – pp 102-116</w:t>
      </w:r>
    </w:p>
    <w:p w14:paraId="2E7FBC3A" w14:textId="34682A6D" w:rsidR="00A758DB" w:rsidRDefault="00A758DB" w:rsidP="00A758DB">
      <w:pPr>
        <w:pStyle w:val="ListParagraph"/>
        <w:numPr>
          <w:ilvl w:val="0"/>
          <w:numId w:val="8"/>
        </w:numPr>
        <w:rPr>
          <w:rFonts w:asciiTheme="majorHAnsi" w:hAnsiTheme="majorHAnsi"/>
        </w:rPr>
      </w:pPr>
      <w:r>
        <w:rPr>
          <w:rFonts w:asciiTheme="majorHAnsi" w:hAnsiTheme="majorHAnsi"/>
        </w:rPr>
        <w:t>Places that work for people – pp 161-167</w:t>
      </w:r>
    </w:p>
    <w:p w14:paraId="75FAB85D" w14:textId="77777777" w:rsidR="00A758DB" w:rsidRDefault="00A758DB" w:rsidP="00A758DB">
      <w:pPr>
        <w:pStyle w:val="ListParagraph"/>
        <w:rPr>
          <w:rFonts w:asciiTheme="majorHAnsi" w:hAnsiTheme="majorHAnsi"/>
        </w:rPr>
      </w:pPr>
    </w:p>
    <w:p w14:paraId="0DE42A0A" w14:textId="77777777" w:rsidR="00A758DB" w:rsidRPr="002F635A" w:rsidRDefault="00A758DB" w:rsidP="00A758DB">
      <w:pPr>
        <w:pStyle w:val="ListParagraph"/>
        <w:rPr>
          <w:rFonts w:asciiTheme="majorHAnsi" w:hAnsiTheme="majorHAnsi"/>
        </w:rPr>
      </w:pPr>
    </w:p>
    <w:p w14:paraId="59241905" w14:textId="0FC49AAD" w:rsidR="007E2AE6"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Q7</w:t>
      </w:r>
      <w:r w:rsidRPr="00992AEF">
        <w:rPr>
          <w:rFonts w:asciiTheme="majorHAnsi" w:hAnsiTheme="majorHAnsi"/>
          <w:b/>
          <w:bCs/>
          <w:color w:val="0070C0"/>
        </w:rPr>
        <w:tab/>
      </w:r>
      <w:r w:rsidR="007E2AE6" w:rsidRPr="00992AEF">
        <w:rPr>
          <w:rFonts w:asciiTheme="majorHAnsi" w:hAnsiTheme="majorHAnsi"/>
          <w:b/>
          <w:bCs/>
          <w:color w:val="0070C0"/>
        </w:rPr>
        <w:t>To what extent do you agree or disagree that establishing the councils in this proposal will support devolution arrangements, for example, the establishment of a strategic authority?</w:t>
      </w:r>
    </w:p>
    <w:p w14:paraId="78CC8555" w14:textId="0EDEBD78" w:rsidR="007E2AE6" w:rsidRPr="00A92F3C" w:rsidRDefault="00AD5E0D" w:rsidP="00992AEF">
      <w:pPr>
        <w:ind w:firstLine="360"/>
        <w:rPr>
          <w:rFonts w:asciiTheme="majorHAnsi" w:hAnsiTheme="majorHAnsi"/>
        </w:rPr>
      </w:pPr>
      <w:r w:rsidRPr="002714B5">
        <w:rPr>
          <w:rFonts w:asciiTheme="majorHAnsi" w:hAnsiTheme="majorHAnsi"/>
          <w:b/>
          <w:bCs/>
        </w:rPr>
        <w:t>Our scoring answer:</w:t>
      </w:r>
      <w:r w:rsidRPr="00A92F3C">
        <w:rPr>
          <w:rFonts w:asciiTheme="majorHAnsi" w:hAnsiTheme="majorHAnsi"/>
        </w:rPr>
        <w:t xml:space="preserve"> </w:t>
      </w:r>
      <w:r w:rsidR="007E2AE6" w:rsidRPr="00A92F3C">
        <w:rPr>
          <w:rFonts w:asciiTheme="majorHAnsi" w:hAnsiTheme="majorHAnsi"/>
        </w:rPr>
        <w:t>Strongly agree</w:t>
      </w:r>
      <w:r w:rsidR="00126A5B" w:rsidRPr="00A92F3C">
        <w:rPr>
          <w:rFonts w:asciiTheme="majorHAnsi" w:hAnsiTheme="majorHAnsi"/>
        </w:rPr>
        <w:t>.</w:t>
      </w:r>
    </w:p>
    <w:p w14:paraId="5B516242" w14:textId="4983B8E3" w:rsidR="00627A5A" w:rsidRPr="002714B5"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31EE7DA4" w14:textId="704C8D99" w:rsidR="00BC312C" w:rsidRDefault="00BC312C" w:rsidP="00992AEF">
      <w:pPr>
        <w:ind w:left="360"/>
        <w:rPr>
          <w:rFonts w:asciiTheme="majorHAnsi" w:hAnsiTheme="majorHAnsi"/>
        </w:rPr>
      </w:pPr>
      <w:r w:rsidRPr="00A92F3C">
        <w:rPr>
          <w:rFonts w:asciiTheme="majorHAnsi" w:hAnsiTheme="majorHAnsi"/>
        </w:rPr>
        <w:t>Th</w:t>
      </w:r>
      <w:r w:rsidR="00160D2F">
        <w:rPr>
          <w:rFonts w:asciiTheme="majorHAnsi" w:hAnsiTheme="majorHAnsi"/>
        </w:rPr>
        <w:t>is model is an ideal foundation</w:t>
      </w:r>
      <w:r w:rsidRPr="00A92F3C">
        <w:rPr>
          <w:rFonts w:asciiTheme="majorHAnsi" w:hAnsiTheme="majorHAnsi"/>
        </w:rPr>
        <w:t xml:space="preserve"> for devolution, since it creates councils based on coherent economic geographies and distributes key growth drivers across them. The proposed unitaries are reasonably balanced in both population and economic size, with </w:t>
      </w:r>
      <w:r w:rsidR="00A758DB">
        <w:rPr>
          <w:rFonts w:asciiTheme="majorHAnsi" w:hAnsiTheme="majorHAnsi"/>
        </w:rPr>
        <w:t>all new areas having a range of dynamic growth drivers</w:t>
      </w:r>
      <w:r w:rsidRPr="00A92F3C">
        <w:rPr>
          <w:rFonts w:asciiTheme="majorHAnsi" w:hAnsiTheme="majorHAnsi"/>
        </w:rPr>
        <w:t xml:space="preserve">. This greater alignment ensures that a new </w:t>
      </w:r>
      <w:r w:rsidR="00160D2F">
        <w:rPr>
          <w:rFonts w:asciiTheme="majorHAnsi" w:hAnsiTheme="majorHAnsi"/>
        </w:rPr>
        <w:t>authorities</w:t>
      </w:r>
      <w:r w:rsidRPr="00A92F3C">
        <w:rPr>
          <w:rFonts w:asciiTheme="majorHAnsi" w:hAnsiTheme="majorHAnsi"/>
        </w:rPr>
        <w:t xml:space="preserve"> would be built on constituent members of similar scale, giving </w:t>
      </w:r>
      <w:r w:rsidR="009F6CEB">
        <w:rPr>
          <w:rFonts w:asciiTheme="majorHAnsi" w:hAnsiTheme="majorHAnsi"/>
        </w:rPr>
        <w:t>the authorities the</w:t>
      </w:r>
      <w:r w:rsidRPr="00A92F3C">
        <w:rPr>
          <w:rFonts w:asciiTheme="majorHAnsi" w:hAnsiTheme="majorHAnsi"/>
        </w:rPr>
        <w:t xml:space="preserve"> best chance of success in delivering strategic leadership and supporting devolution arrangements effectively.</w:t>
      </w:r>
    </w:p>
    <w:p w14:paraId="3F0ADE91" w14:textId="77777777" w:rsidR="002714B5" w:rsidRPr="00A92F3C" w:rsidRDefault="002714B5" w:rsidP="00992AEF">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73D437E3" w14:textId="5B9E5E85" w:rsidR="00A758DB" w:rsidRDefault="00A758DB" w:rsidP="002A2C75">
      <w:pPr>
        <w:pStyle w:val="ListParagraph"/>
        <w:numPr>
          <w:ilvl w:val="0"/>
          <w:numId w:val="9"/>
        </w:numPr>
        <w:rPr>
          <w:rFonts w:asciiTheme="majorHAnsi" w:hAnsiTheme="majorHAnsi"/>
        </w:rPr>
      </w:pPr>
      <w:r>
        <w:rPr>
          <w:rFonts w:asciiTheme="majorHAnsi" w:hAnsiTheme="majorHAnsi"/>
        </w:rPr>
        <w:t>Options Appraisal – pp 65-68</w:t>
      </w:r>
    </w:p>
    <w:p w14:paraId="2EAD07A4" w14:textId="05C50EC4" w:rsidR="002714B5" w:rsidRDefault="00EF730F" w:rsidP="002A2C75">
      <w:pPr>
        <w:pStyle w:val="ListParagraph"/>
        <w:numPr>
          <w:ilvl w:val="0"/>
          <w:numId w:val="9"/>
        </w:numPr>
        <w:rPr>
          <w:rFonts w:asciiTheme="majorHAnsi" w:hAnsiTheme="majorHAnsi"/>
        </w:rPr>
      </w:pPr>
      <w:r w:rsidRPr="002A2C75">
        <w:rPr>
          <w:rFonts w:asciiTheme="majorHAnsi" w:hAnsiTheme="majorHAnsi"/>
        </w:rPr>
        <w:t>Devolution – 119-120</w:t>
      </w:r>
    </w:p>
    <w:p w14:paraId="57CFBDF5" w14:textId="77777777" w:rsidR="00A758DB" w:rsidRDefault="00A758DB" w:rsidP="00A758DB">
      <w:pPr>
        <w:pStyle w:val="ListParagraph"/>
        <w:numPr>
          <w:ilvl w:val="0"/>
          <w:numId w:val="9"/>
        </w:numPr>
        <w:rPr>
          <w:rFonts w:asciiTheme="majorHAnsi" w:hAnsiTheme="majorHAnsi"/>
        </w:rPr>
      </w:pPr>
      <w:r>
        <w:rPr>
          <w:rFonts w:asciiTheme="majorHAnsi" w:hAnsiTheme="majorHAnsi"/>
        </w:rPr>
        <w:t>Unlocking economic and housing growth – pp 121-134</w:t>
      </w:r>
    </w:p>
    <w:p w14:paraId="144840E6" w14:textId="51BF542C" w:rsidR="00F912A5" w:rsidRPr="002A2C75" w:rsidRDefault="00F912A5" w:rsidP="00A758DB">
      <w:pPr>
        <w:pStyle w:val="ListParagraph"/>
        <w:rPr>
          <w:rFonts w:asciiTheme="majorHAnsi" w:hAnsiTheme="majorHAnsi"/>
        </w:rPr>
      </w:pPr>
    </w:p>
    <w:p w14:paraId="0E858A75" w14:textId="2AAFD4FC" w:rsidR="007023DE" w:rsidRPr="00992AEF" w:rsidRDefault="00992AEF" w:rsidP="00992AEF">
      <w:pPr>
        <w:ind w:left="360" w:hanging="360"/>
        <w:rPr>
          <w:rFonts w:asciiTheme="majorHAnsi" w:hAnsiTheme="majorHAnsi"/>
          <w:b/>
          <w:bCs/>
          <w:color w:val="0070C0"/>
        </w:rPr>
      </w:pPr>
      <w:r w:rsidRPr="00992AEF">
        <w:rPr>
          <w:rFonts w:asciiTheme="majorHAnsi" w:hAnsiTheme="majorHAnsi"/>
          <w:b/>
          <w:bCs/>
          <w:color w:val="0070C0"/>
        </w:rPr>
        <w:t>Q8</w:t>
      </w:r>
      <w:r w:rsidRPr="00992AEF">
        <w:rPr>
          <w:rFonts w:asciiTheme="majorHAnsi" w:hAnsiTheme="majorHAnsi"/>
          <w:b/>
          <w:bCs/>
          <w:color w:val="0070C0"/>
        </w:rPr>
        <w:tab/>
      </w:r>
      <w:r w:rsidR="007023DE" w:rsidRPr="00992AEF">
        <w:rPr>
          <w:rFonts w:asciiTheme="majorHAnsi" w:hAnsiTheme="majorHAnsi"/>
          <w:b/>
          <w:bCs/>
          <w:color w:val="0070C0"/>
        </w:rPr>
        <w:t>To what extent do you agree or disagree that the proposal enables stronger community engagement and gives the opportunity for neighbourhood empowerment?</w:t>
      </w:r>
    </w:p>
    <w:p w14:paraId="33819D8A" w14:textId="4BFB9DBA" w:rsidR="007023DE" w:rsidRPr="00A92F3C" w:rsidRDefault="00126A5B" w:rsidP="00992AEF">
      <w:pPr>
        <w:ind w:firstLine="360"/>
        <w:rPr>
          <w:rFonts w:asciiTheme="majorHAnsi" w:hAnsiTheme="majorHAnsi"/>
        </w:rPr>
      </w:pPr>
      <w:r w:rsidRPr="002714B5">
        <w:rPr>
          <w:rFonts w:asciiTheme="majorHAnsi" w:hAnsiTheme="majorHAnsi"/>
          <w:b/>
          <w:bCs/>
        </w:rPr>
        <w:t>Our scoring answer:</w:t>
      </w:r>
      <w:r w:rsidRPr="00A92F3C">
        <w:rPr>
          <w:rFonts w:asciiTheme="majorHAnsi" w:hAnsiTheme="majorHAnsi"/>
        </w:rPr>
        <w:t xml:space="preserve"> </w:t>
      </w:r>
      <w:r w:rsidR="007023DE" w:rsidRPr="00A92F3C">
        <w:rPr>
          <w:rFonts w:asciiTheme="majorHAnsi" w:hAnsiTheme="majorHAnsi"/>
        </w:rPr>
        <w:t>Strongly agree</w:t>
      </w:r>
      <w:r w:rsidRPr="00A92F3C">
        <w:rPr>
          <w:rFonts w:asciiTheme="majorHAnsi" w:hAnsiTheme="majorHAnsi"/>
        </w:rPr>
        <w:t>.</w:t>
      </w:r>
    </w:p>
    <w:p w14:paraId="43E1971B" w14:textId="5E59ECC0" w:rsidR="00627A5A" w:rsidRPr="002714B5" w:rsidRDefault="00627A5A" w:rsidP="00992AEF">
      <w:pPr>
        <w:ind w:firstLine="360"/>
        <w:rPr>
          <w:rFonts w:asciiTheme="majorHAnsi" w:hAnsiTheme="majorHAnsi"/>
          <w:b/>
          <w:bCs/>
        </w:rPr>
      </w:pPr>
      <w:r w:rsidRPr="00627A5A">
        <w:rPr>
          <w:rFonts w:asciiTheme="majorHAnsi" w:hAnsiTheme="majorHAnsi"/>
          <w:b/>
          <w:bCs/>
        </w:rPr>
        <w:t xml:space="preserve">Summary of points made: </w:t>
      </w:r>
    </w:p>
    <w:p w14:paraId="50D4AB1C" w14:textId="5E63E4AC" w:rsidR="00942479" w:rsidRDefault="00942479" w:rsidP="00992AEF">
      <w:pPr>
        <w:ind w:left="360"/>
        <w:rPr>
          <w:rFonts w:asciiTheme="majorHAnsi" w:hAnsiTheme="majorHAnsi"/>
        </w:rPr>
      </w:pPr>
      <w:r w:rsidRPr="00A92F3C">
        <w:rPr>
          <w:rFonts w:asciiTheme="majorHAnsi" w:hAnsiTheme="majorHAnsi"/>
        </w:rPr>
        <w:t>Th</w:t>
      </w:r>
      <w:r w:rsidR="009F6CEB">
        <w:rPr>
          <w:rFonts w:asciiTheme="majorHAnsi" w:hAnsiTheme="majorHAnsi"/>
        </w:rPr>
        <w:t>is model</w:t>
      </w:r>
      <w:r w:rsidRPr="00A92F3C">
        <w:rPr>
          <w:rFonts w:asciiTheme="majorHAnsi" w:hAnsiTheme="majorHAnsi"/>
        </w:rPr>
        <w:t xml:space="preserve"> enable</w:t>
      </w:r>
      <w:r w:rsidR="009F6CEB">
        <w:rPr>
          <w:rFonts w:asciiTheme="majorHAnsi" w:hAnsiTheme="majorHAnsi"/>
        </w:rPr>
        <w:t>s</w:t>
      </w:r>
      <w:r w:rsidRPr="00A92F3C">
        <w:rPr>
          <w:rFonts w:asciiTheme="majorHAnsi" w:hAnsiTheme="majorHAnsi"/>
        </w:rPr>
        <w:t xml:space="preserve"> stronger community engagement and genuine neighbourhood empowerment</w:t>
      </w:r>
      <w:r w:rsidR="009F6CEB">
        <w:rPr>
          <w:rFonts w:asciiTheme="majorHAnsi" w:hAnsiTheme="majorHAnsi"/>
        </w:rPr>
        <w:t xml:space="preserve">. </w:t>
      </w:r>
      <w:r w:rsidR="00A758DB">
        <w:rPr>
          <w:rFonts w:asciiTheme="majorHAnsi" w:hAnsiTheme="majorHAnsi"/>
        </w:rPr>
        <w:t xml:space="preserve">It creates the most robust model of local governance that is being proposed in Greater Essex through </w:t>
      </w:r>
      <w:r w:rsidRPr="00A92F3C">
        <w:rPr>
          <w:rFonts w:asciiTheme="majorHAnsi" w:hAnsiTheme="majorHAnsi"/>
        </w:rPr>
        <w:t>the creation of Neighbourhood Delivery Committees,</w:t>
      </w:r>
      <w:r w:rsidR="006B77C7">
        <w:rPr>
          <w:rFonts w:asciiTheme="majorHAnsi" w:hAnsiTheme="majorHAnsi"/>
        </w:rPr>
        <w:t xml:space="preserve"> which are</w:t>
      </w:r>
      <w:r w:rsidRPr="00A92F3C">
        <w:rPr>
          <w:rFonts w:asciiTheme="majorHAnsi" w:hAnsiTheme="majorHAnsi"/>
        </w:rPr>
        <w:t xml:space="preserve"> backed by </w:t>
      </w:r>
      <w:r w:rsidR="00A758DB">
        <w:rPr>
          <w:rFonts w:asciiTheme="majorHAnsi" w:hAnsiTheme="majorHAnsi"/>
        </w:rPr>
        <w:t>£30m of initial funding</w:t>
      </w:r>
      <w:r w:rsidRPr="00A92F3C">
        <w:rPr>
          <w:rFonts w:asciiTheme="majorHAnsi" w:hAnsiTheme="majorHAnsi"/>
        </w:rPr>
        <w:t xml:space="preserve"> and clear powers, </w:t>
      </w:r>
      <w:r w:rsidR="006B77C7">
        <w:rPr>
          <w:rFonts w:asciiTheme="majorHAnsi" w:hAnsiTheme="majorHAnsi"/>
        </w:rPr>
        <w:t>making</w:t>
      </w:r>
      <w:r w:rsidRPr="00A92F3C">
        <w:rPr>
          <w:rFonts w:asciiTheme="majorHAnsi" w:hAnsiTheme="majorHAnsi"/>
        </w:rPr>
        <w:t xml:space="preserve"> the system more local than the current two-tier structure</w:t>
      </w:r>
      <w:r w:rsidR="00A758DB">
        <w:rPr>
          <w:rFonts w:asciiTheme="majorHAnsi" w:hAnsiTheme="majorHAnsi"/>
        </w:rPr>
        <w:t xml:space="preserve"> </w:t>
      </w:r>
      <w:proofErr w:type="gramStart"/>
      <w:r w:rsidR="00A758DB">
        <w:rPr>
          <w:rFonts w:asciiTheme="majorHAnsi" w:hAnsiTheme="majorHAnsi"/>
        </w:rPr>
        <w:t>and also</w:t>
      </w:r>
      <w:proofErr w:type="gramEnd"/>
      <w:r w:rsidR="00A758DB">
        <w:rPr>
          <w:rFonts w:asciiTheme="majorHAnsi" w:hAnsiTheme="majorHAnsi"/>
        </w:rPr>
        <w:t xml:space="preserve"> more than any other model being proposed</w:t>
      </w:r>
      <w:r w:rsidR="006B77C7">
        <w:rPr>
          <w:rFonts w:asciiTheme="majorHAnsi" w:hAnsiTheme="majorHAnsi"/>
        </w:rPr>
        <w:t xml:space="preserve">. It also supports local </w:t>
      </w:r>
      <w:r w:rsidRPr="00A92F3C">
        <w:rPr>
          <w:rFonts w:asciiTheme="majorHAnsi" w:hAnsiTheme="majorHAnsi"/>
        </w:rPr>
        <w:t xml:space="preserve">people’s agency over issues that matter most. By ensuring councils are financially secure, the model provides the foundation for community </w:t>
      </w:r>
      <w:r w:rsidR="00A758DB">
        <w:rPr>
          <w:rFonts w:asciiTheme="majorHAnsi" w:hAnsiTheme="majorHAnsi"/>
        </w:rPr>
        <w:t>investment</w:t>
      </w:r>
      <w:r w:rsidR="001F5E68">
        <w:rPr>
          <w:rFonts w:asciiTheme="majorHAnsi" w:hAnsiTheme="majorHAnsi"/>
        </w:rPr>
        <w:t xml:space="preserve">.  NDCs will be led by local councillors and will also include </w:t>
      </w:r>
      <w:r w:rsidRPr="00A92F3C">
        <w:rPr>
          <w:rFonts w:asciiTheme="majorHAnsi" w:hAnsiTheme="majorHAnsi"/>
        </w:rPr>
        <w:t xml:space="preserve">voluntary and community sector partners </w:t>
      </w:r>
      <w:r w:rsidR="001F5E68">
        <w:rPr>
          <w:rFonts w:asciiTheme="majorHAnsi" w:hAnsiTheme="majorHAnsi"/>
        </w:rPr>
        <w:t xml:space="preserve">and parish and town councils, </w:t>
      </w:r>
      <w:r w:rsidRPr="00A92F3C">
        <w:rPr>
          <w:rFonts w:asciiTheme="majorHAnsi" w:hAnsiTheme="majorHAnsi"/>
        </w:rPr>
        <w:t>ensur</w:t>
      </w:r>
      <w:r w:rsidR="001F5E68">
        <w:rPr>
          <w:rFonts w:asciiTheme="majorHAnsi" w:hAnsiTheme="majorHAnsi"/>
        </w:rPr>
        <w:t>ing</w:t>
      </w:r>
      <w:r w:rsidRPr="00A92F3C">
        <w:rPr>
          <w:rFonts w:asciiTheme="majorHAnsi" w:hAnsiTheme="majorHAnsi"/>
        </w:rPr>
        <w:t xml:space="preserve"> that local voices </w:t>
      </w:r>
      <w:r w:rsidR="001F5E68">
        <w:rPr>
          <w:rFonts w:asciiTheme="majorHAnsi" w:hAnsiTheme="majorHAnsi"/>
        </w:rPr>
        <w:t xml:space="preserve">and local representatives </w:t>
      </w:r>
      <w:r w:rsidRPr="00A92F3C">
        <w:rPr>
          <w:rFonts w:asciiTheme="majorHAnsi" w:hAnsiTheme="majorHAnsi"/>
        </w:rPr>
        <w:t xml:space="preserve">are fully involved in shaping the </w:t>
      </w:r>
      <w:r w:rsidR="001F5E68">
        <w:rPr>
          <w:rFonts w:asciiTheme="majorHAnsi" w:hAnsiTheme="majorHAnsi"/>
        </w:rPr>
        <w:t>delivery of local public services</w:t>
      </w:r>
      <w:r w:rsidRPr="00A92F3C">
        <w:rPr>
          <w:rFonts w:asciiTheme="majorHAnsi" w:hAnsiTheme="majorHAnsi"/>
        </w:rPr>
        <w:t>.</w:t>
      </w:r>
    </w:p>
    <w:p w14:paraId="756C5C7E" w14:textId="77777777" w:rsidR="002714B5" w:rsidRPr="00A92F3C" w:rsidRDefault="002714B5" w:rsidP="00C75118">
      <w:pPr>
        <w:ind w:firstLine="360"/>
        <w:rPr>
          <w:rFonts w:asciiTheme="majorHAnsi" w:hAnsiTheme="majorHAnsi"/>
          <w:b/>
          <w:bCs/>
        </w:rPr>
      </w:pPr>
      <w:r w:rsidRPr="00A92F3C">
        <w:rPr>
          <w:rFonts w:asciiTheme="majorHAnsi" w:hAnsiTheme="majorHAnsi"/>
          <w:b/>
          <w:bCs/>
        </w:rPr>
        <w:t>For more information, please refer to the following areas of the ECC business case:</w:t>
      </w:r>
    </w:p>
    <w:p w14:paraId="54B2C6E0" w14:textId="789E334E" w:rsidR="001F5E68" w:rsidRDefault="001F5E68" w:rsidP="0041309A">
      <w:pPr>
        <w:pStyle w:val="ListParagraph"/>
        <w:numPr>
          <w:ilvl w:val="0"/>
          <w:numId w:val="10"/>
        </w:numPr>
        <w:rPr>
          <w:rFonts w:asciiTheme="majorHAnsi" w:hAnsiTheme="majorHAnsi"/>
        </w:rPr>
      </w:pPr>
      <w:r>
        <w:rPr>
          <w:rFonts w:asciiTheme="majorHAnsi" w:hAnsiTheme="majorHAnsi"/>
        </w:rPr>
        <w:t>Options Appraisal – pp65-68</w:t>
      </w:r>
    </w:p>
    <w:p w14:paraId="292F004B" w14:textId="7BCA4453" w:rsidR="001F5E68" w:rsidRDefault="001F5E68" w:rsidP="001F5E68">
      <w:pPr>
        <w:pStyle w:val="ListParagraph"/>
        <w:numPr>
          <w:ilvl w:val="0"/>
          <w:numId w:val="10"/>
        </w:numPr>
        <w:rPr>
          <w:rFonts w:asciiTheme="majorHAnsi" w:hAnsiTheme="majorHAnsi"/>
        </w:rPr>
      </w:pPr>
      <w:r>
        <w:rPr>
          <w:rFonts w:asciiTheme="majorHAnsi" w:hAnsiTheme="majorHAnsi"/>
        </w:rPr>
        <w:t>Localism and public services – pp 102-116</w:t>
      </w:r>
    </w:p>
    <w:p w14:paraId="018C394B" w14:textId="77777777" w:rsidR="001F5E68" w:rsidRDefault="001F5E68" w:rsidP="001F5E68">
      <w:pPr>
        <w:pStyle w:val="ListParagraph"/>
        <w:numPr>
          <w:ilvl w:val="0"/>
          <w:numId w:val="10"/>
        </w:numPr>
        <w:rPr>
          <w:rFonts w:asciiTheme="majorHAnsi" w:hAnsiTheme="majorHAnsi"/>
        </w:rPr>
      </w:pPr>
      <w:r>
        <w:rPr>
          <w:rFonts w:asciiTheme="majorHAnsi" w:hAnsiTheme="majorHAnsi"/>
        </w:rPr>
        <w:t>Places that work for people – pp 161-167</w:t>
      </w:r>
    </w:p>
    <w:p w14:paraId="6DDA5A13" w14:textId="77777777" w:rsidR="00FF2207" w:rsidRPr="0041309A" w:rsidRDefault="00FF2207" w:rsidP="00FF2207">
      <w:pPr>
        <w:pStyle w:val="ListParagraph"/>
        <w:rPr>
          <w:rFonts w:asciiTheme="majorHAnsi" w:hAnsiTheme="majorHAnsi"/>
        </w:rPr>
      </w:pPr>
    </w:p>
    <w:sectPr w:rsidR="00FF2207" w:rsidRPr="004130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EE8D" w14:textId="77777777" w:rsidR="003B60B0" w:rsidRDefault="003B60B0" w:rsidP="0028033C">
      <w:pPr>
        <w:spacing w:after="0" w:line="240" w:lineRule="auto"/>
      </w:pPr>
      <w:r>
        <w:separator/>
      </w:r>
    </w:p>
  </w:endnote>
  <w:endnote w:type="continuationSeparator" w:id="0">
    <w:p w14:paraId="41BB0448" w14:textId="77777777" w:rsidR="003B60B0" w:rsidRDefault="003B60B0" w:rsidP="0028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712833"/>
      <w:docPartObj>
        <w:docPartGallery w:val="Page Numbers (Bottom of Page)"/>
        <w:docPartUnique/>
      </w:docPartObj>
    </w:sdtPr>
    <w:sdtEndPr/>
    <w:sdtContent>
      <w:p w14:paraId="13B60B55" w14:textId="7CC44A6D" w:rsidR="0028033C" w:rsidRDefault="0028033C">
        <w:pPr>
          <w:pStyle w:val="Footer"/>
          <w:jc w:val="center"/>
        </w:pPr>
        <w:r>
          <w:fldChar w:fldCharType="begin"/>
        </w:r>
        <w:r>
          <w:instrText>PAGE   \* MERGEFORMAT</w:instrText>
        </w:r>
        <w:r>
          <w:fldChar w:fldCharType="separate"/>
        </w:r>
        <w:r>
          <w:t>2</w:t>
        </w:r>
        <w:r>
          <w:fldChar w:fldCharType="end"/>
        </w:r>
      </w:p>
    </w:sdtContent>
  </w:sdt>
  <w:p w14:paraId="1DF80D9F" w14:textId="77777777" w:rsidR="0028033C" w:rsidRDefault="0028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80AE" w14:textId="77777777" w:rsidR="003B60B0" w:rsidRDefault="003B60B0" w:rsidP="0028033C">
      <w:pPr>
        <w:spacing w:after="0" w:line="240" w:lineRule="auto"/>
      </w:pPr>
      <w:r>
        <w:separator/>
      </w:r>
    </w:p>
  </w:footnote>
  <w:footnote w:type="continuationSeparator" w:id="0">
    <w:p w14:paraId="2477E55D" w14:textId="77777777" w:rsidR="003B60B0" w:rsidRDefault="003B60B0" w:rsidP="00280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BC1"/>
    <w:multiLevelType w:val="hybridMultilevel"/>
    <w:tmpl w:val="EA3C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73C40"/>
    <w:multiLevelType w:val="hybridMultilevel"/>
    <w:tmpl w:val="4DC2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4072C"/>
    <w:multiLevelType w:val="hybridMultilevel"/>
    <w:tmpl w:val="C4E2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949B5"/>
    <w:multiLevelType w:val="hybridMultilevel"/>
    <w:tmpl w:val="BFF4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106DF"/>
    <w:multiLevelType w:val="hybridMultilevel"/>
    <w:tmpl w:val="91001238"/>
    <w:lvl w:ilvl="0" w:tplc="08090011">
      <w:start w:val="1"/>
      <w:numFmt w:val="decimal"/>
      <w:lvlText w:val="%1)"/>
      <w:lvlJc w:val="left"/>
      <w:pPr>
        <w:ind w:left="360" w:hanging="360"/>
      </w:pPr>
      <w:rPr>
        <w:rFonts w:cs="Times New Roman"/>
      </w:r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abstractNum w:abstractNumId="5" w15:restartNumberingAfterBreak="0">
    <w:nsid w:val="5C51676D"/>
    <w:multiLevelType w:val="hybridMultilevel"/>
    <w:tmpl w:val="09F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D1E30"/>
    <w:multiLevelType w:val="hybridMultilevel"/>
    <w:tmpl w:val="865C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64A6C"/>
    <w:multiLevelType w:val="hybridMultilevel"/>
    <w:tmpl w:val="CC82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C81422"/>
    <w:multiLevelType w:val="hybridMultilevel"/>
    <w:tmpl w:val="413A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262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702407">
    <w:abstractNumId w:val="4"/>
  </w:num>
  <w:num w:numId="3" w16cid:durableId="750926336">
    <w:abstractNumId w:val="5"/>
  </w:num>
  <w:num w:numId="4" w16cid:durableId="906191218">
    <w:abstractNumId w:val="2"/>
  </w:num>
  <w:num w:numId="5" w16cid:durableId="546139468">
    <w:abstractNumId w:val="6"/>
  </w:num>
  <w:num w:numId="6" w16cid:durableId="338775499">
    <w:abstractNumId w:val="0"/>
  </w:num>
  <w:num w:numId="7" w16cid:durableId="1694528324">
    <w:abstractNumId w:val="3"/>
  </w:num>
  <w:num w:numId="8" w16cid:durableId="1247686132">
    <w:abstractNumId w:val="1"/>
  </w:num>
  <w:num w:numId="9" w16cid:durableId="49770909">
    <w:abstractNumId w:val="7"/>
  </w:num>
  <w:num w:numId="10" w16cid:durableId="314458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E6"/>
    <w:rsid w:val="000316E7"/>
    <w:rsid w:val="00066118"/>
    <w:rsid w:val="000727BB"/>
    <w:rsid w:val="000753E6"/>
    <w:rsid w:val="00091C0B"/>
    <w:rsid w:val="000957E4"/>
    <w:rsid w:val="000A67D9"/>
    <w:rsid w:val="000B4439"/>
    <w:rsid w:val="000C6063"/>
    <w:rsid w:val="000F2BBC"/>
    <w:rsid w:val="000F563C"/>
    <w:rsid w:val="00126A5B"/>
    <w:rsid w:val="00156A92"/>
    <w:rsid w:val="00156D7C"/>
    <w:rsid w:val="00160D2F"/>
    <w:rsid w:val="001E3102"/>
    <w:rsid w:val="001F5E68"/>
    <w:rsid w:val="001F7BE8"/>
    <w:rsid w:val="00206BB9"/>
    <w:rsid w:val="0022026C"/>
    <w:rsid w:val="002268B8"/>
    <w:rsid w:val="00231F44"/>
    <w:rsid w:val="002714B5"/>
    <w:rsid w:val="0028033C"/>
    <w:rsid w:val="00283E37"/>
    <w:rsid w:val="002854A6"/>
    <w:rsid w:val="00286201"/>
    <w:rsid w:val="00297003"/>
    <w:rsid w:val="002A2C75"/>
    <w:rsid w:val="002A3B85"/>
    <w:rsid w:val="002E1994"/>
    <w:rsid w:val="002F635A"/>
    <w:rsid w:val="003B60B0"/>
    <w:rsid w:val="003C12E0"/>
    <w:rsid w:val="003D62BC"/>
    <w:rsid w:val="0041309A"/>
    <w:rsid w:val="00430C9B"/>
    <w:rsid w:val="004461AD"/>
    <w:rsid w:val="00473190"/>
    <w:rsid w:val="00536191"/>
    <w:rsid w:val="0055405D"/>
    <w:rsid w:val="00555D1C"/>
    <w:rsid w:val="005847F5"/>
    <w:rsid w:val="005910FD"/>
    <w:rsid w:val="005A2A50"/>
    <w:rsid w:val="005C1401"/>
    <w:rsid w:val="005C5599"/>
    <w:rsid w:val="005E5F0D"/>
    <w:rsid w:val="005F0456"/>
    <w:rsid w:val="0062335B"/>
    <w:rsid w:val="00627A5A"/>
    <w:rsid w:val="00646CD3"/>
    <w:rsid w:val="006B77C7"/>
    <w:rsid w:val="007023DE"/>
    <w:rsid w:val="00711010"/>
    <w:rsid w:val="00741EB3"/>
    <w:rsid w:val="007701B4"/>
    <w:rsid w:val="00775C0A"/>
    <w:rsid w:val="007A2A51"/>
    <w:rsid w:val="007C5744"/>
    <w:rsid w:val="007E2AE6"/>
    <w:rsid w:val="007E3A81"/>
    <w:rsid w:val="008142F0"/>
    <w:rsid w:val="00814E51"/>
    <w:rsid w:val="008B3334"/>
    <w:rsid w:val="008E2560"/>
    <w:rsid w:val="008E4481"/>
    <w:rsid w:val="008F15D7"/>
    <w:rsid w:val="00935075"/>
    <w:rsid w:val="00937FB6"/>
    <w:rsid w:val="00942479"/>
    <w:rsid w:val="009655CD"/>
    <w:rsid w:val="00990C08"/>
    <w:rsid w:val="00992AEF"/>
    <w:rsid w:val="009A3FDA"/>
    <w:rsid w:val="009F6CEB"/>
    <w:rsid w:val="00A03DDF"/>
    <w:rsid w:val="00A150A3"/>
    <w:rsid w:val="00A45560"/>
    <w:rsid w:val="00A47EAC"/>
    <w:rsid w:val="00A65CC5"/>
    <w:rsid w:val="00A758DB"/>
    <w:rsid w:val="00A92F3C"/>
    <w:rsid w:val="00A939A6"/>
    <w:rsid w:val="00AB5640"/>
    <w:rsid w:val="00AD5E0D"/>
    <w:rsid w:val="00AE5155"/>
    <w:rsid w:val="00AF1CE0"/>
    <w:rsid w:val="00B2760A"/>
    <w:rsid w:val="00B31188"/>
    <w:rsid w:val="00B33DFF"/>
    <w:rsid w:val="00B41D9D"/>
    <w:rsid w:val="00B467C7"/>
    <w:rsid w:val="00B753C6"/>
    <w:rsid w:val="00B755B3"/>
    <w:rsid w:val="00B77E1A"/>
    <w:rsid w:val="00BC312C"/>
    <w:rsid w:val="00BC7C71"/>
    <w:rsid w:val="00BF69EF"/>
    <w:rsid w:val="00C03BE1"/>
    <w:rsid w:val="00C20DF1"/>
    <w:rsid w:val="00C35B2F"/>
    <w:rsid w:val="00C75118"/>
    <w:rsid w:val="00C77B1D"/>
    <w:rsid w:val="00CD1AEE"/>
    <w:rsid w:val="00CD4399"/>
    <w:rsid w:val="00CE2374"/>
    <w:rsid w:val="00CE3427"/>
    <w:rsid w:val="00CF2A88"/>
    <w:rsid w:val="00CF7A1A"/>
    <w:rsid w:val="00D21AC4"/>
    <w:rsid w:val="00D3373A"/>
    <w:rsid w:val="00D4762D"/>
    <w:rsid w:val="00D6787F"/>
    <w:rsid w:val="00D9573F"/>
    <w:rsid w:val="00DB1099"/>
    <w:rsid w:val="00DC52E1"/>
    <w:rsid w:val="00DD7CED"/>
    <w:rsid w:val="00DE23A7"/>
    <w:rsid w:val="00DF1792"/>
    <w:rsid w:val="00E129B1"/>
    <w:rsid w:val="00E332D9"/>
    <w:rsid w:val="00E42D88"/>
    <w:rsid w:val="00E455A7"/>
    <w:rsid w:val="00EE4FE4"/>
    <w:rsid w:val="00EE51DF"/>
    <w:rsid w:val="00EF730F"/>
    <w:rsid w:val="00F43AF0"/>
    <w:rsid w:val="00F82662"/>
    <w:rsid w:val="00F84B67"/>
    <w:rsid w:val="00F876EA"/>
    <w:rsid w:val="00F912A5"/>
    <w:rsid w:val="00FA27D9"/>
    <w:rsid w:val="00FA55B9"/>
    <w:rsid w:val="00FA7462"/>
    <w:rsid w:val="00FF2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365A"/>
  <w15:chartTrackingRefBased/>
  <w15:docId w15:val="{39CB77DA-14B4-4226-95C5-62AE023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3E6"/>
    <w:rPr>
      <w:rFonts w:eastAsiaTheme="majorEastAsia" w:cstheme="majorBidi"/>
      <w:color w:val="272727" w:themeColor="text1" w:themeTint="D8"/>
    </w:rPr>
  </w:style>
  <w:style w:type="paragraph" w:styleId="Title">
    <w:name w:val="Title"/>
    <w:basedOn w:val="Normal"/>
    <w:next w:val="Normal"/>
    <w:link w:val="TitleChar"/>
    <w:uiPriority w:val="10"/>
    <w:qFormat/>
    <w:rsid w:val="00075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3E6"/>
    <w:pPr>
      <w:spacing w:before="160"/>
      <w:jc w:val="center"/>
    </w:pPr>
    <w:rPr>
      <w:i/>
      <w:iCs/>
      <w:color w:val="404040" w:themeColor="text1" w:themeTint="BF"/>
    </w:rPr>
  </w:style>
  <w:style w:type="character" w:customStyle="1" w:styleId="QuoteChar">
    <w:name w:val="Quote Char"/>
    <w:basedOn w:val="DefaultParagraphFont"/>
    <w:link w:val="Quote"/>
    <w:uiPriority w:val="29"/>
    <w:rsid w:val="000753E6"/>
    <w:rPr>
      <w:i/>
      <w:iCs/>
      <w:color w:val="404040" w:themeColor="text1" w:themeTint="BF"/>
    </w:rPr>
  </w:style>
  <w:style w:type="paragraph" w:styleId="ListParagraph">
    <w:name w:val="List Paragraph"/>
    <w:basedOn w:val="Normal"/>
    <w:uiPriority w:val="34"/>
    <w:qFormat/>
    <w:rsid w:val="000753E6"/>
    <w:pPr>
      <w:ind w:left="720"/>
      <w:contextualSpacing/>
    </w:pPr>
  </w:style>
  <w:style w:type="character" w:styleId="IntenseEmphasis">
    <w:name w:val="Intense Emphasis"/>
    <w:basedOn w:val="DefaultParagraphFont"/>
    <w:uiPriority w:val="21"/>
    <w:qFormat/>
    <w:rsid w:val="000753E6"/>
    <w:rPr>
      <w:i/>
      <w:iCs/>
      <w:color w:val="0F4761" w:themeColor="accent1" w:themeShade="BF"/>
    </w:rPr>
  </w:style>
  <w:style w:type="paragraph" w:styleId="IntenseQuote">
    <w:name w:val="Intense Quote"/>
    <w:basedOn w:val="Normal"/>
    <w:next w:val="Normal"/>
    <w:link w:val="IntenseQuoteChar"/>
    <w:uiPriority w:val="30"/>
    <w:qFormat/>
    <w:rsid w:val="00075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3E6"/>
    <w:rPr>
      <w:i/>
      <w:iCs/>
      <w:color w:val="0F4761" w:themeColor="accent1" w:themeShade="BF"/>
    </w:rPr>
  </w:style>
  <w:style w:type="character" w:styleId="IntenseReference">
    <w:name w:val="Intense Reference"/>
    <w:basedOn w:val="DefaultParagraphFont"/>
    <w:uiPriority w:val="32"/>
    <w:qFormat/>
    <w:rsid w:val="000753E6"/>
    <w:rPr>
      <w:b/>
      <w:bCs/>
      <w:smallCaps/>
      <w:color w:val="0F4761" w:themeColor="accent1" w:themeShade="BF"/>
      <w:spacing w:val="5"/>
    </w:rPr>
  </w:style>
  <w:style w:type="character" w:styleId="Hyperlink">
    <w:name w:val="Hyperlink"/>
    <w:basedOn w:val="DefaultParagraphFont"/>
    <w:uiPriority w:val="99"/>
    <w:unhideWhenUsed/>
    <w:rsid w:val="000957E4"/>
    <w:rPr>
      <w:color w:val="467886" w:themeColor="hyperlink"/>
      <w:u w:val="single"/>
    </w:rPr>
  </w:style>
  <w:style w:type="character" w:styleId="UnresolvedMention">
    <w:name w:val="Unresolved Mention"/>
    <w:basedOn w:val="DefaultParagraphFont"/>
    <w:uiPriority w:val="99"/>
    <w:semiHidden/>
    <w:unhideWhenUsed/>
    <w:rsid w:val="000957E4"/>
    <w:rPr>
      <w:color w:val="605E5C"/>
      <w:shd w:val="clear" w:color="auto" w:fill="E1DFDD"/>
    </w:rPr>
  </w:style>
  <w:style w:type="paragraph" w:styleId="Header">
    <w:name w:val="header"/>
    <w:basedOn w:val="Normal"/>
    <w:link w:val="HeaderChar"/>
    <w:uiPriority w:val="99"/>
    <w:unhideWhenUsed/>
    <w:rsid w:val="00280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3C"/>
  </w:style>
  <w:style w:type="paragraph" w:styleId="Footer">
    <w:name w:val="footer"/>
    <w:basedOn w:val="Normal"/>
    <w:link w:val="FooterChar"/>
    <w:uiPriority w:val="99"/>
    <w:unhideWhenUsed/>
    <w:rsid w:val="00280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2776">
      <w:bodyDiv w:val="1"/>
      <w:marLeft w:val="0"/>
      <w:marRight w:val="0"/>
      <w:marTop w:val="0"/>
      <w:marBottom w:val="0"/>
      <w:divBdr>
        <w:top w:val="none" w:sz="0" w:space="0" w:color="auto"/>
        <w:left w:val="none" w:sz="0" w:space="0" w:color="auto"/>
        <w:bottom w:val="none" w:sz="0" w:space="0" w:color="auto"/>
        <w:right w:val="none" w:sz="0" w:space="0" w:color="auto"/>
      </w:divBdr>
    </w:div>
    <w:div w:id="1399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about-council/plans-and-strategies/our-vision-essex/local-government-reorganisation-lgr" TargetMode="External"/><Relationship Id="rId3" Type="http://schemas.openxmlformats.org/officeDocument/2006/relationships/settings" Target="settings.xml"/><Relationship Id="rId7" Type="http://schemas.openxmlformats.org/officeDocument/2006/relationships/hyperlink" Target="https://www.essex.gov.uk/sites/default/files/2025-09/Three%20new%20councils%2C%20one%20bright%20future%20-%20Essex%20LGR%20proposal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Smith - Senior Strategy Advisor</dc:creator>
  <cp:keywords/>
  <dc:description/>
  <cp:lastModifiedBy>Charlotte Britton - Head of Wellbeing and Public Health</cp:lastModifiedBy>
  <cp:revision>8</cp:revision>
  <dcterms:created xsi:type="dcterms:W3CDTF">2025-12-08T17:27:00Z</dcterms:created>
  <dcterms:modified xsi:type="dcterms:W3CDTF">2025-12-08T17:42:00Z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2025-12-03T15:28:46Z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42627686-bd52-40fe-8acd-437c2e4531ac</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