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F785" w14:textId="3853F835" w:rsidR="00890E66" w:rsidRPr="00961B32" w:rsidRDefault="00954AFF" w:rsidP="00C661F4">
      <w:pPr>
        <w:rPr>
          <w:b/>
          <w:bCs/>
          <w:sz w:val="22"/>
          <w:szCs w:val="22"/>
          <w:u w:val="single"/>
        </w:rPr>
      </w:pPr>
      <w:r w:rsidRPr="00961B32">
        <w:rPr>
          <w:b/>
          <w:bCs/>
          <w:sz w:val="22"/>
          <w:szCs w:val="22"/>
          <w:u w:val="single"/>
        </w:rPr>
        <w:t>ESSEX COUNTY COUNCIL: LGR CONSULTATION RESPONSE</w:t>
      </w:r>
    </w:p>
    <w:p w14:paraId="7CA4AA0A" w14:textId="3E89351B" w:rsidR="0027221D" w:rsidRPr="00961B32" w:rsidRDefault="0027221D" w:rsidP="00890E66">
      <w:pPr>
        <w:rPr>
          <w:sz w:val="22"/>
          <w:szCs w:val="22"/>
        </w:rPr>
      </w:pPr>
      <w:r w:rsidRPr="00961B32">
        <w:rPr>
          <w:sz w:val="22"/>
          <w:szCs w:val="22"/>
        </w:rPr>
        <w:t xml:space="preserve">This response </w:t>
      </w:r>
      <w:r w:rsidR="00931334" w:rsidRPr="00961B32">
        <w:rPr>
          <w:sz w:val="22"/>
          <w:szCs w:val="22"/>
        </w:rPr>
        <w:t xml:space="preserve">sets out Essex County Council’s assessment of the three unitary </w:t>
      </w:r>
      <w:proofErr w:type="gramStart"/>
      <w:r w:rsidR="00931334" w:rsidRPr="00961B32">
        <w:rPr>
          <w:sz w:val="22"/>
          <w:szCs w:val="22"/>
        </w:rPr>
        <w:t>proposal</w:t>
      </w:r>
      <w:proofErr w:type="gramEnd"/>
      <w:r w:rsidR="00931334" w:rsidRPr="00961B32">
        <w:rPr>
          <w:sz w:val="22"/>
          <w:szCs w:val="22"/>
        </w:rPr>
        <w:t xml:space="preserve"> that we (along with Epping Forest District Council and Braintree District Council) have </w:t>
      </w:r>
      <w:r w:rsidR="003A2090" w:rsidRPr="00961B32">
        <w:rPr>
          <w:sz w:val="22"/>
          <w:szCs w:val="22"/>
        </w:rPr>
        <w:t>submitted to Government.  It is one of four LGR proposals that have been submitted to Government for Greater Essex, all of which the Government is consulting on.</w:t>
      </w:r>
      <w:r w:rsidRPr="00961B32">
        <w:rPr>
          <w:sz w:val="22"/>
          <w:szCs w:val="22"/>
        </w:rPr>
        <w:t xml:space="preserve"> </w:t>
      </w:r>
    </w:p>
    <w:p w14:paraId="1227DF1E" w14:textId="03389D90" w:rsidR="00954AFF" w:rsidRPr="00961B32" w:rsidRDefault="00A51963" w:rsidP="00890E66">
      <w:pPr>
        <w:rPr>
          <w:sz w:val="22"/>
          <w:szCs w:val="22"/>
        </w:rPr>
      </w:pPr>
      <w:r w:rsidRPr="00961B32">
        <w:rPr>
          <w:sz w:val="22"/>
          <w:szCs w:val="22"/>
        </w:rPr>
        <w:t xml:space="preserve">The response comprises </w:t>
      </w:r>
      <w:r w:rsidR="00295288" w:rsidRPr="00961B32">
        <w:rPr>
          <w:sz w:val="22"/>
          <w:szCs w:val="22"/>
        </w:rPr>
        <w:t xml:space="preserve">an overview response to the questions the Government has asked in its public consultation document, </w:t>
      </w:r>
      <w:r w:rsidR="003469DB" w:rsidRPr="00961B32">
        <w:rPr>
          <w:sz w:val="22"/>
          <w:szCs w:val="22"/>
        </w:rPr>
        <w:t>plus thematic annexes on the following topics:</w:t>
      </w:r>
    </w:p>
    <w:p w14:paraId="060BE9F6" w14:textId="22E5AA60" w:rsidR="003469DB" w:rsidRPr="00961B32" w:rsidRDefault="003469DB" w:rsidP="003469DB">
      <w:pPr>
        <w:pStyle w:val="ListParagraph"/>
        <w:numPr>
          <w:ilvl w:val="0"/>
          <w:numId w:val="17"/>
        </w:numPr>
        <w:rPr>
          <w:sz w:val="22"/>
          <w:szCs w:val="22"/>
        </w:rPr>
      </w:pPr>
      <w:r w:rsidRPr="00961B32">
        <w:rPr>
          <w:sz w:val="22"/>
          <w:szCs w:val="22"/>
        </w:rPr>
        <w:t>Finances</w:t>
      </w:r>
    </w:p>
    <w:p w14:paraId="47540079" w14:textId="69001246" w:rsidR="003469DB" w:rsidRPr="00961B32" w:rsidRDefault="00F53A40" w:rsidP="003469DB">
      <w:pPr>
        <w:pStyle w:val="ListParagraph"/>
        <w:numPr>
          <w:ilvl w:val="0"/>
          <w:numId w:val="17"/>
        </w:numPr>
        <w:rPr>
          <w:sz w:val="22"/>
          <w:szCs w:val="22"/>
        </w:rPr>
      </w:pPr>
      <w:r w:rsidRPr="00961B32">
        <w:rPr>
          <w:sz w:val="22"/>
          <w:szCs w:val="22"/>
        </w:rPr>
        <w:t>Social care and education</w:t>
      </w:r>
    </w:p>
    <w:p w14:paraId="5A67A812" w14:textId="5A6CF3B1" w:rsidR="00851D72" w:rsidRPr="00961B32" w:rsidRDefault="00851D72" w:rsidP="003469DB">
      <w:pPr>
        <w:pStyle w:val="ListParagraph"/>
        <w:numPr>
          <w:ilvl w:val="0"/>
          <w:numId w:val="17"/>
        </w:numPr>
        <w:rPr>
          <w:sz w:val="22"/>
          <w:szCs w:val="22"/>
        </w:rPr>
      </w:pPr>
      <w:r w:rsidRPr="00961B32">
        <w:rPr>
          <w:sz w:val="22"/>
          <w:szCs w:val="22"/>
        </w:rPr>
        <w:t>Economy and housing growth</w:t>
      </w:r>
    </w:p>
    <w:p w14:paraId="0C75230C" w14:textId="7142DA43" w:rsidR="00851D72" w:rsidRPr="00961B32" w:rsidRDefault="00851D72" w:rsidP="003469DB">
      <w:pPr>
        <w:pStyle w:val="ListParagraph"/>
        <w:numPr>
          <w:ilvl w:val="0"/>
          <w:numId w:val="17"/>
        </w:numPr>
        <w:rPr>
          <w:sz w:val="22"/>
          <w:szCs w:val="22"/>
        </w:rPr>
      </w:pPr>
      <w:r w:rsidRPr="00961B32">
        <w:rPr>
          <w:sz w:val="22"/>
          <w:szCs w:val="22"/>
        </w:rPr>
        <w:t>Neighbourhoods and localism</w:t>
      </w:r>
    </w:p>
    <w:p w14:paraId="4A466ADE" w14:textId="3BE15796" w:rsidR="00851D72" w:rsidRPr="00961B32" w:rsidRDefault="00851D72" w:rsidP="003469DB">
      <w:pPr>
        <w:pStyle w:val="ListParagraph"/>
        <w:numPr>
          <w:ilvl w:val="0"/>
          <w:numId w:val="17"/>
        </w:numPr>
        <w:rPr>
          <w:sz w:val="22"/>
          <w:szCs w:val="22"/>
        </w:rPr>
      </w:pPr>
      <w:r w:rsidRPr="00961B32">
        <w:rPr>
          <w:sz w:val="22"/>
          <w:szCs w:val="22"/>
        </w:rPr>
        <w:t>Deprivation</w:t>
      </w:r>
    </w:p>
    <w:p w14:paraId="541C4415" w14:textId="3DB6722D" w:rsidR="0027221D" w:rsidRPr="00961B32" w:rsidRDefault="0027221D" w:rsidP="00890E66">
      <w:pPr>
        <w:rPr>
          <w:sz w:val="22"/>
          <w:szCs w:val="22"/>
        </w:rPr>
      </w:pPr>
      <w:r w:rsidRPr="00961B32">
        <w:rPr>
          <w:sz w:val="22"/>
          <w:szCs w:val="22"/>
        </w:rPr>
        <w:t xml:space="preserve"> </w:t>
      </w:r>
      <w:r w:rsidR="00E36C0E">
        <w:rPr>
          <w:sz w:val="22"/>
          <w:szCs w:val="22"/>
        </w:rPr>
        <w:t xml:space="preserve">The </w:t>
      </w:r>
      <w:r w:rsidR="000E5798">
        <w:rPr>
          <w:sz w:val="22"/>
          <w:szCs w:val="22"/>
        </w:rPr>
        <w:t xml:space="preserve">overview responses are below. </w:t>
      </w:r>
      <w:r w:rsidR="001F51FD">
        <w:rPr>
          <w:sz w:val="22"/>
          <w:szCs w:val="22"/>
        </w:rPr>
        <w:t xml:space="preserve">The </w:t>
      </w:r>
      <w:r w:rsidR="00E36C0E">
        <w:rPr>
          <w:sz w:val="22"/>
          <w:szCs w:val="22"/>
        </w:rPr>
        <w:t xml:space="preserve">additional </w:t>
      </w:r>
      <w:r w:rsidR="001F51FD">
        <w:rPr>
          <w:sz w:val="22"/>
          <w:szCs w:val="22"/>
        </w:rPr>
        <w:t xml:space="preserve">annexes </w:t>
      </w:r>
      <w:r w:rsidR="005940B5">
        <w:rPr>
          <w:sz w:val="22"/>
          <w:szCs w:val="22"/>
        </w:rPr>
        <w:t>can be found here</w:t>
      </w:r>
      <w:r w:rsidR="005940B5" w:rsidRPr="00E36C0E">
        <w:rPr>
          <w:b/>
          <w:bCs/>
          <w:color w:val="0070C0"/>
          <w:sz w:val="22"/>
          <w:szCs w:val="22"/>
        </w:rPr>
        <w:t xml:space="preserve"> </w:t>
      </w:r>
      <w:hyperlink r:id="rId7" w:history="1">
        <w:r w:rsidR="00E36C0E" w:rsidRPr="00FC28A9">
          <w:rPr>
            <w:rStyle w:val="Hyperlink"/>
            <w:b/>
            <w:bCs/>
            <w:color w:val="0070C0"/>
            <w:sz w:val="22"/>
            <w:szCs w:val="22"/>
          </w:rPr>
          <w:t>LGR co</w:t>
        </w:r>
        <w:r w:rsidR="00E36C0E" w:rsidRPr="00FC28A9">
          <w:rPr>
            <w:rStyle w:val="Hyperlink"/>
            <w:b/>
            <w:bCs/>
            <w:color w:val="0070C0"/>
            <w:sz w:val="22"/>
            <w:szCs w:val="22"/>
          </w:rPr>
          <w:t>n</w:t>
        </w:r>
        <w:r w:rsidR="00E36C0E" w:rsidRPr="00FC28A9">
          <w:rPr>
            <w:rStyle w:val="Hyperlink"/>
            <w:b/>
            <w:bCs/>
            <w:color w:val="0070C0"/>
            <w:sz w:val="22"/>
            <w:szCs w:val="22"/>
          </w:rPr>
          <w:t>sultation response.docx</w:t>
        </w:r>
      </w:hyperlink>
    </w:p>
    <w:p w14:paraId="5B6CBC9C" w14:textId="37061B06" w:rsidR="00890E66" w:rsidRPr="00961B32" w:rsidRDefault="00C661F4" w:rsidP="00890E66">
      <w:pPr>
        <w:rPr>
          <w:b/>
          <w:bCs/>
          <w:sz w:val="22"/>
          <w:szCs w:val="22"/>
          <w:u w:val="single"/>
          <w:lang w:val="fr-FR"/>
        </w:rPr>
      </w:pPr>
      <w:r>
        <w:rPr>
          <w:b/>
          <w:bCs/>
          <w:sz w:val="22"/>
          <w:szCs w:val="22"/>
          <w:u w:val="single"/>
          <w:lang w:val="fr-FR"/>
        </w:rPr>
        <w:t xml:space="preserve">CONSULTATION </w:t>
      </w:r>
      <w:r w:rsidR="00B56948">
        <w:rPr>
          <w:b/>
          <w:bCs/>
          <w:sz w:val="22"/>
          <w:szCs w:val="22"/>
          <w:u w:val="single"/>
          <w:lang w:val="fr-FR"/>
        </w:rPr>
        <w:t>QUESTIONS</w:t>
      </w:r>
    </w:p>
    <w:p w14:paraId="758C847C" w14:textId="50546C40" w:rsidR="00890E66" w:rsidRPr="00B56948" w:rsidRDefault="00C661F4" w:rsidP="00C661F4">
      <w:pPr>
        <w:ind w:left="720" w:hanging="720"/>
        <w:rPr>
          <w:b/>
          <w:bCs/>
          <w:color w:val="0070C0"/>
          <w:sz w:val="22"/>
          <w:szCs w:val="22"/>
        </w:rPr>
      </w:pPr>
      <w:r w:rsidRPr="00B56948">
        <w:rPr>
          <w:b/>
          <w:bCs/>
          <w:color w:val="0070C0"/>
          <w:sz w:val="22"/>
          <w:szCs w:val="22"/>
        </w:rPr>
        <w:t>Q1</w:t>
      </w:r>
      <w:r w:rsidRPr="00B56948">
        <w:rPr>
          <w:b/>
          <w:bCs/>
          <w:color w:val="0070C0"/>
          <w:sz w:val="22"/>
          <w:szCs w:val="22"/>
        </w:rPr>
        <w:tab/>
      </w:r>
      <w:r w:rsidR="00890E66" w:rsidRPr="00B56948">
        <w:rPr>
          <w:b/>
          <w:bCs/>
          <w:color w:val="0070C0"/>
          <w:sz w:val="22"/>
          <w:szCs w:val="22"/>
        </w:rPr>
        <w:t>To what extent do you agree or disagree that the proposal suggests councils that are based on sensible geographies and economic areas?  </w:t>
      </w:r>
    </w:p>
    <w:p w14:paraId="2AC384C1" w14:textId="77777777" w:rsidR="0027221D" w:rsidRPr="00961B32" w:rsidRDefault="0027221D" w:rsidP="00B56948">
      <w:pPr>
        <w:ind w:left="720"/>
        <w:rPr>
          <w:sz w:val="22"/>
          <w:szCs w:val="22"/>
        </w:rPr>
      </w:pPr>
      <w:r w:rsidRPr="00961B32">
        <w:rPr>
          <w:b/>
          <w:bCs/>
          <w:sz w:val="22"/>
          <w:szCs w:val="22"/>
        </w:rPr>
        <w:t>Strongly agree:</w:t>
      </w:r>
      <w:r w:rsidRPr="00961B32">
        <w:rPr>
          <w:sz w:val="22"/>
          <w:szCs w:val="22"/>
        </w:rPr>
        <w:t xml:space="preserve"> The three unitary model creates the most sensible geographies for new councils by:</w:t>
      </w:r>
    </w:p>
    <w:p w14:paraId="29C8B5C2" w14:textId="77777777" w:rsidR="00D10F5B" w:rsidRPr="00961B32" w:rsidRDefault="0027221D" w:rsidP="0027221D">
      <w:pPr>
        <w:pStyle w:val="ListParagraph"/>
        <w:numPr>
          <w:ilvl w:val="0"/>
          <w:numId w:val="5"/>
        </w:numPr>
        <w:rPr>
          <w:sz w:val="22"/>
          <w:szCs w:val="22"/>
        </w:rPr>
      </w:pPr>
      <w:r w:rsidRPr="00961B32">
        <w:rPr>
          <w:i/>
          <w:iCs/>
          <w:sz w:val="22"/>
          <w:szCs w:val="22"/>
        </w:rPr>
        <w:t>Sticking to well-established economic geographies</w:t>
      </w:r>
      <w:r w:rsidRPr="00961B32">
        <w:rPr>
          <w:sz w:val="22"/>
          <w:szCs w:val="22"/>
        </w:rPr>
        <w:t xml:space="preserve">: for example, in the South it maintains the coherence of the Thames Gateway, which </w:t>
      </w:r>
      <w:r w:rsidR="00D10F5B" w:rsidRPr="00961B32">
        <w:rPr>
          <w:sz w:val="22"/>
          <w:szCs w:val="22"/>
        </w:rPr>
        <w:t>is a recognised economic corridor.  All other LGR proposals split it up in different ways.  Maintaining the coherence of the Thames Gateway is particularly important to maximise the benefits of the Thames Freeport and ensure that the new skills and jobs it creates benefit surrounding communities including those with high levels of deprivation.</w:t>
      </w:r>
      <w:r w:rsidR="00392157" w:rsidRPr="00961B32">
        <w:rPr>
          <w:sz w:val="22"/>
          <w:szCs w:val="22"/>
        </w:rPr>
        <w:t xml:space="preserve">  The model also aligns well with existing transport corridors, both on road and rail.</w:t>
      </w:r>
    </w:p>
    <w:p w14:paraId="13F19E8F" w14:textId="77777777" w:rsidR="00D10F5B" w:rsidRPr="00961B32" w:rsidRDefault="00D10F5B" w:rsidP="00D10F5B">
      <w:pPr>
        <w:pStyle w:val="ListParagraph"/>
        <w:ind w:left="360"/>
        <w:rPr>
          <w:sz w:val="22"/>
          <w:szCs w:val="22"/>
        </w:rPr>
      </w:pPr>
    </w:p>
    <w:p w14:paraId="375C8793" w14:textId="77777777" w:rsidR="00D10F5B" w:rsidRPr="00961B32" w:rsidRDefault="00D10F5B" w:rsidP="00392157">
      <w:pPr>
        <w:pStyle w:val="ListParagraph"/>
        <w:numPr>
          <w:ilvl w:val="0"/>
          <w:numId w:val="5"/>
        </w:numPr>
        <w:rPr>
          <w:sz w:val="22"/>
          <w:szCs w:val="22"/>
        </w:rPr>
      </w:pPr>
      <w:r w:rsidRPr="00961B32">
        <w:rPr>
          <w:i/>
          <w:iCs/>
          <w:sz w:val="22"/>
          <w:szCs w:val="22"/>
        </w:rPr>
        <w:t>Aligning each area to dynamic growth drivers</w:t>
      </w:r>
      <w:r w:rsidRPr="00961B32">
        <w:rPr>
          <w:sz w:val="22"/>
          <w:szCs w:val="22"/>
        </w:rPr>
        <w:t xml:space="preserve">: economic growth in each area will be driven by a dynamic new city (Colchester in the north, Chelmsford in mid, and Southend-on-Sea in the south), as well as by other urban areas, and other growth drivers (universities, airports, freeports etc).   </w:t>
      </w:r>
      <w:r w:rsidR="00392157" w:rsidRPr="00961B32">
        <w:rPr>
          <w:sz w:val="22"/>
          <w:szCs w:val="22"/>
        </w:rPr>
        <w:t xml:space="preserve">The three economic areas are well balanced not only in terms of growth drivers but also in terms of total GVA and jobs. This </w:t>
      </w:r>
      <w:r w:rsidRPr="00961B32">
        <w:rPr>
          <w:sz w:val="22"/>
          <w:szCs w:val="22"/>
        </w:rPr>
        <w:t>mean</w:t>
      </w:r>
      <w:r w:rsidR="00392157" w:rsidRPr="00961B32">
        <w:rPr>
          <w:sz w:val="22"/>
          <w:szCs w:val="22"/>
        </w:rPr>
        <w:t>s</w:t>
      </w:r>
      <w:r w:rsidRPr="00961B32">
        <w:rPr>
          <w:sz w:val="22"/>
          <w:szCs w:val="22"/>
        </w:rPr>
        <w:t xml:space="preserve"> that our LGR model, working with a </w:t>
      </w:r>
      <w:proofErr w:type="gramStart"/>
      <w:r w:rsidRPr="00961B32">
        <w:rPr>
          <w:sz w:val="22"/>
          <w:szCs w:val="22"/>
        </w:rPr>
        <w:t>Mayor</w:t>
      </w:r>
      <w:proofErr w:type="gramEnd"/>
      <w:r w:rsidRPr="00961B32">
        <w:rPr>
          <w:sz w:val="22"/>
          <w:szCs w:val="22"/>
        </w:rPr>
        <w:t>, will support a more even</w:t>
      </w:r>
      <w:r w:rsidR="00E36FF6" w:rsidRPr="00961B32">
        <w:rPr>
          <w:sz w:val="22"/>
          <w:szCs w:val="22"/>
        </w:rPr>
        <w:t xml:space="preserve"> and inclusive</w:t>
      </w:r>
      <w:r w:rsidRPr="00961B32">
        <w:rPr>
          <w:sz w:val="22"/>
          <w:szCs w:val="22"/>
        </w:rPr>
        <w:t xml:space="preserve"> pattern of economic growth, with no area being left behind.</w:t>
      </w:r>
      <w:r w:rsidR="00392157" w:rsidRPr="00961B32">
        <w:rPr>
          <w:sz w:val="22"/>
          <w:szCs w:val="22"/>
        </w:rPr>
        <w:t xml:space="preserve">  </w:t>
      </w:r>
    </w:p>
    <w:p w14:paraId="73C9F202" w14:textId="77777777" w:rsidR="00D10F5B" w:rsidRPr="00961B32" w:rsidRDefault="00D10F5B" w:rsidP="00D10F5B">
      <w:pPr>
        <w:pStyle w:val="ListParagraph"/>
        <w:rPr>
          <w:sz w:val="22"/>
          <w:szCs w:val="22"/>
        </w:rPr>
      </w:pPr>
    </w:p>
    <w:p w14:paraId="25562E3D" w14:textId="238551D7" w:rsidR="00392157" w:rsidRPr="00961B32" w:rsidRDefault="006F42FE" w:rsidP="0027221D">
      <w:pPr>
        <w:pStyle w:val="ListParagraph"/>
        <w:numPr>
          <w:ilvl w:val="0"/>
          <w:numId w:val="5"/>
        </w:numPr>
        <w:rPr>
          <w:sz w:val="22"/>
          <w:szCs w:val="22"/>
        </w:rPr>
      </w:pPr>
      <w:r w:rsidRPr="00961B32">
        <w:rPr>
          <w:i/>
          <w:iCs/>
          <w:sz w:val="22"/>
          <w:szCs w:val="22"/>
        </w:rPr>
        <w:t>Balancing deprivation and affluence</w:t>
      </w:r>
      <w:r w:rsidRPr="00961B32">
        <w:rPr>
          <w:sz w:val="22"/>
          <w:szCs w:val="22"/>
        </w:rPr>
        <w:t xml:space="preserve">: Greater Essex is a generally affluent region, but the latest IMD data show that deprivation continues to increase.  The number of Greater Essex residents living in areas of high deprivation is now 220,000 – a figure that has doubled since 2004, and which calls for urgent action to reverse this trend.  Our three unitary model ensures a more even distribution of affluence and deprivation, with no council having more than 18% of its population living in areas of higher deprivation.  This is not true of the other models.  </w:t>
      </w:r>
      <w:r w:rsidR="00392157" w:rsidRPr="00961B32">
        <w:rPr>
          <w:sz w:val="22"/>
          <w:szCs w:val="22"/>
        </w:rPr>
        <w:t>This more even balance</w:t>
      </w:r>
      <w:r w:rsidRPr="00961B32">
        <w:rPr>
          <w:sz w:val="22"/>
          <w:szCs w:val="22"/>
        </w:rPr>
        <w:t xml:space="preserve"> helps to manage demand pressures in public services, and it </w:t>
      </w:r>
      <w:proofErr w:type="gramStart"/>
      <w:r w:rsidRPr="00961B32">
        <w:rPr>
          <w:sz w:val="22"/>
          <w:szCs w:val="22"/>
        </w:rPr>
        <w:t xml:space="preserve">is also </w:t>
      </w:r>
      <w:r w:rsidR="00392157" w:rsidRPr="00961B32">
        <w:rPr>
          <w:sz w:val="22"/>
          <w:szCs w:val="22"/>
        </w:rPr>
        <w:t>creates</w:t>
      </w:r>
      <w:proofErr w:type="gramEnd"/>
      <w:r w:rsidR="00392157" w:rsidRPr="00961B32">
        <w:rPr>
          <w:sz w:val="22"/>
          <w:szCs w:val="22"/>
        </w:rPr>
        <w:t xml:space="preserve"> councils that will have more capacity to take action to reduce deprivation.</w:t>
      </w:r>
      <w:r w:rsidR="0012284A" w:rsidRPr="00961B32">
        <w:rPr>
          <w:sz w:val="22"/>
          <w:szCs w:val="22"/>
        </w:rPr>
        <w:t xml:space="preserve">  </w:t>
      </w:r>
      <w:r w:rsidR="00646507" w:rsidRPr="00961B32">
        <w:rPr>
          <w:sz w:val="22"/>
          <w:szCs w:val="22"/>
        </w:rPr>
        <w:t>By contrast, t</w:t>
      </w:r>
      <w:r w:rsidR="0012284A" w:rsidRPr="00961B32">
        <w:rPr>
          <w:sz w:val="22"/>
          <w:szCs w:val="22"/>
        </w:rPr>
        <w:t xml:space="preserve">he </w:t>
      </w:r>
      <w:r w:rsidR="00646507" w:rsidRPr="00961B32">
        <w:rPr>
          <w:sz w:val="22"/>
          <w:szCs w:val="22"/>
        </w:rPr>
        <w:t xml:space="preserve">five unitary </w:t>
      </w:r>
      <w:r w:rsidR="0012284A" w:rsidRPr="00961B32">
        <w:rPr>
          <w:sz w:val="22"/>
          <w:szCs w:val="22"/>
        </w:rPr>
        <w:t xml:space="preserve">model creates concentrated clusters of deprivation in </w:t>
      </w:r>
      <w:r w:rsidR="00646507" w:rsidRPr="00961B32">
        <w:rPr>
          <w:sz w:val="22"/>
          <w:szCs w:val="22"/>
        </w:rPr>
        <w:t xml:space="preserve">three new authorities </w:t>
      </w:r>
      <w:r w:rsidR="0012284A" w:rsidRPr="00961B32">
        <w:rPr>
          <w:sz w:val="22"/>
          <w:szCs w:val="22"/>
        </w:rPr>
        <w:t>(N</w:t>
      </w:r>
      <w:r w:rsidR="00646507" w:rsidRPr="00961B32">
        <w:rPr>
          <w:sz w:val="22"/>
          <w:szCs w:val="22"/>
        </w:rPr>
        <w:t>orth-East</w:t>
      </w:r>
      <w:r w:rsidR="0012284A" w:rsidRPr="00961B32">
        <w:rPr>
          <w:sz w:val="22"/>
          <w:szCs w:val="22"/>
        </w:rPr>
        <w:t>, S</w:t>
      </w:r>
      <w:r w:rsidR="00170E53" w:rsidRPr="00961B32">
        <w:rPr>
          <w:sz w:val="22"/>
          <w:szCs w:val="22"/>
        </w:rPr>
        <w:t>outh-West</w:t>
      </w:r>
      <w:r w:rsidR="0012284A" w:rsidRPr="00961B32">
        <w:rPr>
          <w:sz w:val="22"/>
          <w:szCs w:val="22"/>
        </w:rPr>
        <w:t xml:space="preserve"> and S</w:t>
      </w:r>
      <w:r w:rsidR="00170E53" w:rsidRPr="00961B32">
        <w:rPr>
          <w:sz w:val="22"/>
          <w:szCs w:val="22"/>
        </w:rPr>
        <w:t>outh-East</w:t>
      </w:r>
      <w:r w:rsidR="0012284A" w:rsidRPr="00961B32">
        <w:rPr>
          <w:sz w:val="22"/>
          <w:szCs w:val="22"/>
        </w:rPr>
        <w:t xml:space="preserve">) while creating two </w:t>
      </w:r>
      <w:r w:rsidR="00170E53" w:rsidRPr="00961B32">
        <w:rPr>
          <w:sz w:val="22"/>
          <w:szCs w:val="22"/>
        </w:rPr>
        <w:t>new authorities</w:t>
      </w:r>
      <w:r w:rsidR="0012284A" w:rsidRPr="00961B32">
        <w:rPr>
          <w:sz w:val="22"/>
          <w:szCs w:val="22"/>
        </w:rPr>
        <w:t xml:space="preserve"> (West and Mid) with very low levels of deprivation - creating a very unequal arrangement in Greater Essex</w:t>
      </w:r>
    </w:p>
    <w:p w14:paraId="7638A935" w14:textId="77777777" w:rsidR="00392157" w:rsidRPr="00961B32" w:rsidRDefault="00392157" w:rsidP="00392157">
      <w:pPr>
        <w:pStyle w:val="ListParagraph"/>
        <w:rPr>
          <w:sz w:val="22"/>
          <w:szCs w:val="22"/>
        </w:rPr>
      </w:pPr>
    </w:p>
    <w:p w14:paraId="76C0484B" w14:textId="77777777" w:rsidR="00890E66" w:rsidRPr="00961B32" w:rsidRDefault="00392157" w:rsidP="0027221D">
      <w:pPr>
        <w:pStyle w:val="ListParagraph"/>
        <w:numPr>
          <w:ilvl w:val="0"/>
          <w:numId w:val="5"/>
        </w:numPr>
        <w:rPr>
          <w:sz w:val="22"/>
          <w:szCs w:val="22"/>
        </w:rPr>
      </w:pPr>
      <w:r w:rsidRPr="00961B32">
        <w:rPr>
          <w:i/>
          <w:iCs/>
          <w:sz w:val="22"/>
          <w:szCs w:val="22"/>
        </w:rPr>
        <w:t>Balancing housing growth</w:t>
      </w:r>
      <w:r w:rsidRPr="00961B32">
        <w:rPr>
          <w:sz w:val="22"/>
          <w:szCs w:val="22"/>
        </w:rPr>
        <w:t xml:space="preserve">: In aggregate, Greater Essex is not currently meeting its housing </w:t>
      </w:r>
      <w:proofErr w:type="gramStart"/>
      <w:r w:rsidRPr="00961B32">
        <w:rPr>
          <w:sz w:val="22"/>
          <w:szCs w:val="22"/>
        </w:rPr>
        <w:t>targets</w:t>
      </w:r>
      <w:proofErr w:type="gramEnd"/>
      <w:r w:rsidRPr="00961B32">
        <w:rPr>
          <w:sz w:val="22"/>
          <w:szCs w:val="22"/>
        </w:rPr>
        <w:t xml:space="preserve"> and the problem is particularly acute in the South, where some councils have only achieved 35% of their housing targets in recent years.  Our LGR proposal addresses this by having three councils that will have </w:t>
      </w:r>
      <w:r w:rsidR="003B34D1" w:rsidRPr="00961B32">
        <w:rPr>
          <w:sz w:val="22"/>
          <w:szCs w:val="22"/>
        </w:rPr>
        <w:t>more flexible availability of land to build new homes.  It also balances housing growth more equitably than other models, with 64,000 new homes needed in the North over the next 15 years; 67,000 needed in Mid; and 77,000 in the South.</w:t>
      </w:r>
      <w:r w:rsidRPr="00961B32">
        <w:rPr>
          <w:sz w:val="22"/>
          <w:szCs w:val="22"/>
        </w:rPr>
        <w:t xml:space="preserve"> </w:t>
      </w:r>
      <w:r w:rsidR="006F42FE" w:rsidRPr="00961B32">
        <w:rPr>
          <w:sz w:val="22"/>
          <w:szCs w:val="22"/>
        </w:rPr>
        <w:t xml:space="preserve">    </w:t>
      </w:r>
      <w:r w:rsidR="00D10F5B" w:rsidRPr="00961B32">
        <w:rPr>
          <w:sz w:val="22"/>
          <w:szCs w:val="22"/>
        </w:rPr>
        <w:t xml:space="preserve"> </w:t>
      </w:r>
      <w:r w:rsidR="00D10F5B" w:rsidRPr="00961B32">
        <w:rPr>
          <w:i/>
          <w:iCs/>
          <w:sz w:val="22"/>
          <w:szCs w:val="22"/>
        </w:rPr>
        <w:t xml:space="preserve"> </w:t>
      </w:r>
      <w:r w:rsidR="00D10F5B" w:rsidRPr="00961B32">
        <w:rPr>
          <w:sz w:val="22"/>
          <w:szCs w:val="22"/>
        </w:rPr>
        <w:t xml:space="preserve"> </w:t>
      </w:r>
      <w:r w:rsidR="0027221D" w:rsidRPr="00961B32">
        <w:rPr>
          <w:sz w:val="22"/>
          <w:szCs w:val="22"/>
        </w:rPr>
        <w:t xml:space="preserve"> </w:t>
      </w:r>
    </w:p>
    <w:p w14:paraId="49A250C5" w14:textId="77777777" w:rsidR="00F510A4" w:rsidRPr="00B56948" w:rsidRDefault="00F510A4" w:rsidP="00890E66">
      <w:pPr>
        <w:rPr>
          <w:b/>
          <w:bCs/>
          <w:color w:val="0070C0"/>
          <w:sz w:val="22"/>
          <w:szCs w:val="22"/>
        </w:rPr>
      </w:pPr>
    </w:p>
    <w:p w14:paraId="73016237" w14:textId="4AFDD0E3" w:rsidR="00890E66" w:rsidRPr="00B56948" w:rsidRDefault="00B56948" w:rsidP="00B56948">
      <w:pPr>
        <w:ind w:left="720" w:hanging="720"/>
        <w:rPr>
          <w:b/>
          <w:bCs/>
          <w:color w:val="0070C0"/>
          <w:sz w:val="22"/>
          <w:szCs w:val="22"/>
        </w:rPr>
      </w:pPr>
      <w:r w:rsidRPr="00B56948">
        <w:rPr>
          <w:b/>
          <w:bCs/>
          <w:color w:val="0070C0"/>
          <w:sz w:val="22"/>
          <w:szCs w:val="22"/>
        </w:rPr>
        <w:t>Q2</w:t>
      </w:r>
      <w:r w:rsidRPr="00B56948">
        <w:rPr>
          <w:b/>
          <w:bCs/>
          <w:color w:val="0070C0"/>
          <w:sz w:val="22"/>
          <w:szCs w:val="22"/>
        </w:rPr>
        <w:tab/>
      </w:r>
      <w:r w:rsidR="00890E66" w:rsidRPr="00B56948">
        <w:rPr>
          <w:b/>
          <w:bCs/>
          <w:color w:val="0070C0"/>
          <w:sz w:val="22"/>
          <w:szCs w:val="22"/>
        </w:rPr>
        <w:t>To what extent do you agree or disagree that the proposed councils will be able to deliver the outcomes they describe in the proposal?</w:t>
      </w:r>
    </w:p>
    <w:p w14:paraId="1721D138" w14:textId="40E30285" w:rsidR="00890E66" w:rsidRPr="00961B32" w:rsidRDefault="003B34D1" w:rsidP="00B56948">
      <w:pPr>
        <w:ind w:left="720"/>
        <w:rPr>
          <w:sz w:val="22"/>
          <w:szCs w:val="22"/>
        </w:rPr>
      </w:pPr>
      <w:r w:rsidRPr="00961B32">
        <w:rPr>
          <w:b/>
          <w:bCs/>
          <w:sz w:val="22"/>
          <w:szCs w:val="22"/>
        </w:rPr>
        <w:t>Strongly agree:</w:t>
      </w:r>
      <w:r w:rsidRPr="00961B32">
        <w:rPr>
          <w:sz w:val="22"/>
          <w:szCs w:val="22"/>
        </w:rPr>
        <w:t xml:space="preserve"> </w:t>
      </w:r>
      <w:r w:rsidR="008B2764">
        <w:rPr>
          <w:sz w:val="22"/>
          <w:szCs w:val="22"/>
        </w:rPr>
        <w:t xml:space="preserve">The </w:t>
      </w:r>
      <w:r w:rsidR="00FE2F3D">
        <w:rPr>
          <w:sz w:val="22"/>
          <w:szCs w:val="22"/>
        </w:rPr>
        <w:t xml:space="preserve">current </w:t>
      </w:r>
      <w:r w:rsidR="00100508">
        <w:rPr>
          <w:sz w:val="22"/>
          <w:szCs w:val="22"/>
        </w:rPr>
        <w:t xml:space="preserve">two-tier </w:t>
      </w:r>
      <w:r w:rsidR="00FE2F3D">
        <w:rPr>
          <w:sz w:val="22"/>
          <w:szCs w:val="22"/>
        </w:rPr>
        <w:t xml:space="preserve">model of </w:t>
      </w:r>
      <w:r w:rsidR="00A456A8">
        <w:rPr>
          <w:sz w:val="22"/>
          <w:szCs w:val="22"/>
        </w:rPr>
        <w:t>local government is outdated, costly and ineffective</w:t>
      </w:r>
      <w:r w:rsidR="00100508">
        <w:rPr>
          <w:sz w:val="22"/>
          <w:szCs w:val="22"/>
        </w:rPr>
        <w:t xml:space="preserve">.  </w:t>
      </w:r>
      <w:r w:rsidR="00AC1D1C">
        <w:rPr>
          <w:sz w:val="22"/>
          <w:szCs w:val="22"/>
        </w:rPr>
        <w:t>Our three unitary model will</w:t>
      </w:r>
      <w:r w:rsidR="001734F8">
        <w:rPr>
          <w:sz w:val="22"/>
          <w:szCs w:val="22"/>
        </w:rPr>
        <w:t xml:space="preserve"> serve residents much better for decades to come and </w:t>
      </w:r>
      <w:r w:rsidR="00AC1D1C">
        <w:rPr>
          <w:sz w:val="22"/>
          <w:szCs w:val="22"/>
        </w:rPr>
        <w:t>will</w:t>
      </w:r>
      <w:r w:rsidR="001734F8">
        <w:rPr>
          <w:sz w:val="22"/>
          <w:szCs w:val="22"/>
        </w:rPr>
        <w:t xml:space="preserve"> secure the </w:t>
      </w:r>
      <w:r w:rsidR="00AC1D1C">
        <w:rPr>
          <w:sz w:val="22"/>
          <w:szCs w:val="22"/>
        </w:rPr>
        <w:t xml:space="preserve">delivery of vital services that are currently unsustainable.   </w:t>
      </w:r>
      <w:r w:rsidRPr="00961B32">
        <w:rPr>
          <w:sz w:val="22"/>
          <w:szCs w:val="22"/>
        </w:rPr>
        <w:t>Our LGR document sets out a clear vision for more effective and efficient public services</w:t>
      </w:r>
      <w:r w:rsidR="002F5D63" w:rsidRPr="00961B32">
        <w:rPr>
          <w:sz w:val="22"/>
          <w:szCs w:val="22"/>
        </w:rPr>
        <w:t xml:space="preserve">, that are closer to the residents they serve, and with councils able to play a stronger role, working with a </w:t>
      </w:r>
      <w:proofErr w:type="gramStart"/>
      <w:r w:rsidR="002F5D63" w:rsidRPr="00961B32">
        <w:rPr>
          <w:sz w:val="22"/>
          <w:szCs w:val="22"/>
        </w:rPr>
        <w:t>Mayor</w:t>
      </w:r>
      <w:proofErr w:type="gramEnd"/>
      <w:r w:rsidR="002F5D63" w:rsidRPr="00961B32">
        <w:rPr>
          <w:sz w:val="22"/>
          <w:szCs w:val="22"/>
        </w:rPr>
        <w:t>, in promoting economic and housing growth.  We are confident that our model will deliver the outcomes described because:</w:t>
      </w:r>
    </w:p>
    <w:p w14:paraId="076400ED" w14:textId="77777777" w:rsidR="002F5D63" w:rsidRPr="00961B32" w:rsidRDefault="002F5D63" w:rsidP="002F5D63">
      <w:pPr>
        <w:pStyle w:val="ListParagraph"/>
        <w:numPr>
          <w:ilvl w:val="0"/>
          <w:numId w:val="6"/>
        </w:numPr>
        <w:rPr>
          <w:sz w:val="22"/>
          <w:szCs w:val="22"/>
        </w:rPr>
      </w:pPr>
      <w:r w:rsidRPr="00961B32">
        <w:rPr>
          <w:i/>
          <w:iCs/>
          <w:sz w:val="22"/>
          <w:szCs w:val="22"/>
        </w:rPr>
        <w:t xml:space="preserve">Our model is based on robust evidence: </w:t>
      </w:r>
      <w:r w:rsidRPr="00961B32">
        <w:rPr>
          <w:sz w:val="22"/>
          <w:szCs w:val="22"/>
        </w:rPr>
        <w:t>unlike some other proposals, we commissioned and assessed the evidence first before choosing our preferred LGR model based on the evidence.  The evidence we have used is very robust and has been tried and tested in previous rounds of LGR.  This includes PwC analysis of the financial costs/benefits of different numbers of unitaries; Newton Europe analysis on the impact of LGR on people services; and CIPFA analysis on debt.</w:t>
      </w:r>
    </w:p>
    <w:p w14:paraId="228444B0" w14:textId="77777777" w:rsidR="002F5D63" w:rsidRPr="00961B32" w:rsidRDefault="002F5D63" w:rsidP="002F5D63">
      <w:pPr>
        <w:pStyle w:val="ListParagraph"/>
        <w:ind w:left="360"/>
        <w:rPr>
          <w:sz w:val="22"/>
          <w:szCs w:val="22"/>
        </w:rPr>
      </w:pPr>
    </w:p>
    <w:p w14:paraId="474BDD71" w14:textId="724BBBCF" w:rsidR="002F5D63" w:rsidRPr="00961B32" w:rsidRDefault="002F5D63" w:rsidP="002F5D63">
      <w:pPr>
        <w:pStyle w:val="ListParagraph"/>
        <w:numPr>
          <w:ilvl w:val="0"/>
          <w:numId w:val="6"/>
        </w:numPr>
        <w:rPr>
          <w:sz w:val="22"/>
          <w:szCs w:val="22"/>
        </w:rPr>
      </w:pPr>
      <w:r w:rsidRPr="00961B32">
        <w:rPr>
          <w:i/>
          <w:iCs/>
          <w:sz w:val="22"/>
          <w:szCs w:val="22"/>
        </w:rPr>
        <w:t>Our model is based on cautious assumptions</w:t>
      </w:r>
      <w:r w:rsidRPr="00961B32">
        <w:rPr>
          <w:sz w:val="22"/>
          <w:szCs w:val="22"/>
        </w:rPr>
        <w:t xml:space="preserve">: we have been careful not to promise more than we can be confident we can deliver.  For example, our headline rate of savings is based purely on money to be saved through re-organisation.  It does not include extra savings to be generated through transformation, which will be additional, but which take longer to come through and are inevitably less certain.  </w:t>
      </w:r>
      <w:r w:rsidR="000A6BDD" w:rsidRPr="00961B32">
        <w:rPr>
          <w:sz w:val="22"/>
          <w:szCs w:val="22"/>
        </w:rPr>
        <w:t xml:space="preserve">We believe this is more realistic </w:t>
      </w:r>
      <w:proofErr w:type="gramStart"/>
      <w:r w:rsidR="000A6BDD" w:rsidRPr="00961B32">
        <w:rPr>
          <w:sz w:val="22"/>
          <w:szCs w:val="22"/>
        </w:rPr>
        <w:t>and also</w:t>
      </w:r>
      <w:proofErr w:type="gramEnd"/>
      <w:r w:rsidR="000A6BDD" w:rsidRPr="00961B32">
        <w:rPr>
          <w:sz w:val="22"/>
          <w:szCs w:val="22"/>
        </w:rPr>
        <w:t xml:space="preserve"> significantly de-risks the process of LGR in a complex system like Greater Essex, helping to provide protections for local taxpayers and national taxpayers. </w:t>
      </w:r>
      <w:r w:rsidRPr="00961B32">
        <w:rPr>
          <w:sz w:val="22"/>
          <w:szCs w:val="22"/>
        </w:rPr>
        <w:t>Other models have not done this and have included highly optimistic transformation benefits in their headline savings figure to enable their sums to add up.</w:t>
      </w:r>
    </w:p>
    <w:p w14:paraId="447B1928" w14:textId="77777777" w:rsidR="002F5D63" w:rsidRPr="00961B32" w:rsidRDefault="002F5D63" w:rsidP="002F5D63">
      <w:pPr>
        <w:pStyle w:val="ListParagraph"/>
        <w:rPr>
          <w:sz w:val="22"/>
          <w:szCs w:val="22"/>
        </w:rPr>
      </w:pPr>
    </w:p>
    <w:p w14:paraId="4180FCF5" w14:textId="77777777" w:rsidR="003B34D1" w:rsidRPr="00961B32" w:rsidRDefault="002F5D63" w:rsidP="00890E66">
      <w:pPr>
        <w:pStyle w:val="ListParagraph"/>
        <w:numPr>
          <w:ilvl w:val="0"/>
          <w:numId w:val="6"/>
        </w:numPr>
        <w:rPr>
          <w:sz w:val="22"/>
          <w:szCs w:val="22"/>
        </w:rPr>
      </w:pPr>
      <w:r w:rsidRPr="00961B32">
        <w:rPr>
          <w:i/>
          <w:iCs/>
          <w:sz w:val="22"/>
          <w:szCs w:val="22"/>
        </w:rPr>
        <w:t>It is based on what our residents and our partners tell us they want</w:t>
      </w:r>
      <w:r w:rsidRPr="00961B32">
        <w:rPr>
          <w:sz w:val="22"/>
          <w:szCs w:val="22"/>
        </w:rPr>
        <w:t xml:space="preserve">: residents are very clear what they want – better public services that offer better value for money.  </w:t>
      </w:r>
      <w:r w:rsidR="00DD4388" w:rsidRPr="00961B32">
        <w:rPr>
          <w:sz w:val="22"/>
          <w:szCs w:val="22"/>
        </w:rPr>
        <w:t>For example, 85% of our residents, in a survey, told us that they will support LGR if it leads to better services.  Our partners – the NHS, the Police, businesses, the voluntary sector and others – tell us that they want councils that will have the strategic and financial capacity to drive improvements in public services; and the ability to work effectively at a neighbourhood level and invest in communities.  They also tell us that they want a simpler system – with fewer boards, fewer overlapping strategies and less bureaucracy.  Our three unitary model delivers this.</w:t>
      </w:r>
    </w:p>
    <w:p w14:paraId="0C750C4A" w14:textId="6387CF5D" w:rsidR="00890E66" w:rsidRPr="00632746" w:rsidRDefault="00632746" w:rsidP="00632746">
      <w:pPr>
        <w:ind w:left="720" w:hanging="720"/>
        <w:rPr>
          <w:b/>
          <w:bCs/>
          <w:color w:val="0070C0"/>
          <w:sz w:val="22"/>
          <w:szCs w:val="22"/>
        </w:rPr>
      </w:pPr>
      <w:r w:rsidRPr="00632746">
        <w:rPr>
          <w:b/>
          <w:bCs/>
          <w:color w:val="0070C0"/>
          <w:sz w:val="22"/>
          <w:szCs w:val="22"/>
        </w:rPr>
        <w:t>Q3</w:t>
      </w:r>
      <w:r w:rsidRPr="00632746">
        <w:rPr>
          <w:b/>
          <w:bCs/>
          <w:color w:val="0070C0"/>
          <w:sz w:val="22"/>
          <w:szCs w:val="22"/>
        </w:rPr>
        <w:tab/>
      </w:r>
      <w:r w:rsidR="00890E66" w:rsidRPr="00632746">
        <w:rPr>
          <w:b/>
          <w:bCs/>
          <w:color w:val="0070C0"/>
          <w:sz w:val="22"/>
          <w:szCs w:val="22"/>
        </w:rPr>
        <w:t xml:space="preserve">To what extent do you agree or disagree that the proposed councils are the right size to be efficient, improve capacity and withstand financial shocks? </w:t>
      </w:r>
    </w:p>
    <w:p w14:paraId="016518BA" w14:textId="77777777" w:rsidR="00890E66" w:rsidRPr="00961B32" w:rsidRDefault="00DD730F" w:rsidP="00632746">
      <w:pPr>
        <w:ind w:firstLine="720"/>
        <w:rPr>
          <w:sz w:val="22"/>
          <w:szCs w:val="22"/>
        </w:rPr>
      </w:pPr>
      <w:r w:rsidRPr="00961B32">
        <w:rPr>
          <w:b/>
          <w:bCs/>
          <w:sz w:val="22"/>
          <w:szCs w:val="22"/>
        </w:rPr>
        <w:t xml:space="preserve">Strongly </w:t>
      </w:r>
      <w:r w:rsidR="00FA1F59" w:rsidRPr="00961B32">
        <w:rPr>
          <w:b/>
          <w:bCs/>
          <w:sz w:val="22"/>
          <w:szCs w:val="22"/>
        </w:rPr>
        <w:t xml:space="preserve">agree: </w:t>
      </w:r>
      <w:r w:rsidR="00FA1F59" w:rsidRPr="00961B32">
        <w:rPr>
          <w:sz w:val="22"/>
          <w:szCs w:val="22"/>
        </w:rPr>
        <w:t xml:space="preserve">our </w:t>
      </w:r>
      <w:r w:rsidR="00C854F7" w:rsidRPr="00961B32">
        <w:rPr>
          <w:sz w:val="22"/>
          <w:szCs w:val="22"/>
        </w:rPr>
        <w:t>three unitary LGR model</w:t>
      </w:r>
      <w:r w:rsidR="00FA1F59" w:rsidRPr="00961B32">
        <w:rPr>
          <w:sz w:val="22"/>
          <w:szCs w:val="22"/>
        </w:rPr>
        <w:t xml:space="preserve"> achieves this by:</w:t>
      </w:r>
    </w:p>
    <w:p w14:paraId="33ACF126" w14:textId="7466CA16" w:rsidR="00D01CF8" w:rsidRPr="00961B32" w:rsidRDefault="00D01CF8" w:rsidP="00D01CF8">
      <w:pPr>
        <w:pStyle w:val="ListParagraph"/>
        <w:numPr>
          <w:ilvl w:val="0"/>
          <w:numId w:val="7"/>
        </w:numPr>
        <w:rPr>
          <w:sz w:val="22"/>
          <w:szCs w:val="22"/>
        </w:rPr>
      </w:pPr>
      <w:r w:rsidRPr="00961B32">
        <w:rPr>
          <w:i/>
          <w:iCs/>
          <w:sz w:val="22"/>
          <w:szCs w:val="22"/>
        </w:rPr>
        <w:lastRenderedPageBreak/>
        <w:t>Delivering significant financial savings</w:t>
      </w:r>
      <w:r w:rsidRPr="00961B32">
        <w:rPr>
          <w:sz w:val="22"/>
          <w:szCs w:val="22"/>
        </w:rPr>
        <w:t xml:space="preserve">: our three unitary model will deliver net savings of £86m over five years compared to the status quo, with an ongoing net financial benefit of £38m. This does not include additional transformation savings, which would be a further opportunity.   The four unitary model will cost £21m </w:t>
      </w:r>
      <w:r w:rsidRPr="00961B32">
        <w:rPr>
          <w:i/>
          <w:iCs/>
          <w:sz w:val="22"/>
          <w:szCs w:val="22"/>
        </w:rPr>
        <w:t>more</w:t>
      </w:r>
      <w:r w:rsidRPr="00961B32">
        <w:rPr>
          <w:sz w:val="22"/>
          <w:szCs w:val="22"/>
        </w:rPr>
        <w:t xml:space="preserve"> than the status quo over the same period; and the five unitary model £114m </w:t>
      </w:r>
      <w:r w:rsidRPr="00961B32">
        <w:rPr>
          <w:i/>
          <w:iCs/>
          <w:sz w:val="22"/>
          <w:szCs w:val="22"/>
        </w:rPr>
        <w:t xml:space="preserve">more. </w:t>
      </w:r>
      <w:r w:rsidRPr="00961B32">
        <w:rPr>
          <w:sz w:val="22"/>
          <w:szCs w:val="22"/>
        </w:rPr>
        <w:t xml:space="preserve"> These savings are important not only to demonstrate value for money to the public, but also to create additional financial headroom that is needed to manage the rising demand pressures we are seeing across statutory services.</w:t>
      </w:r>
    </w:p>
    <w:p w14:paraId="20264F03" w14:textId="77777777" w:rsidR="00C854F7" w:rsidRPr="00961B32" w:rsidRDefault="00C854F7" w:rsidP="00C854F7">
      <w:pPr>
        <w:pStyle w:val="ListParagraph"/>
        <w:ind w:left="360"/>
        <w:rPr>
          <w:sz w:val="22"/>
          <w:szCs w:val="22"/>
        </w:rPr>
      </w:pPr>
    </w:p>
    <w:p w14:paraId="78B1E1FE" w14:textId="77777777" w:rsidR="005607AA" w:rsidRPr="00961B32" w:rsidRDefault="008066E6" w:rsidP="002D3233">
      <w:pPr>
        <w:pStyle w:val="ListParagraph"/>
        <w:numPr>
          <w:ilvl w:val="0"/>
          <w:numId w:val="7"/>
        </w:numPr>
        <w:rPr>
          <w:sz w:val="22"/>
          <w:szCs w:val="22"/>
        </w:rPr>
      </w:pPr>
      <w:r w:rsidRPr="00961B32">
        <w:rPr>
          <w:i/>
          <w:iCs/>
          <w:sz w:val="22"/>
          <w:szCs w:val="22"/>
        </w:rPr>
        <w:t>Balancing deprivation and affluence</w:t>
      </w:r>
      <w:r w:rsidRPr="00961B32">
        <w:rPr>
          <w:sz w:val="22"/>
          <w:szCs w:val="22"/>
        </w:rPr>
        <w:t xml:space="preserve">: as explained above, our model creates </w:t>
      </w:r>
      <w:r w:rsidR="0068644C" w:rsidRPr="00961B32">
        <w:rPr>
          <w:sz w:val="22"/>
          <w:szCs w:val="22"/>
        </w:rPr>
        <w:t>councils that will have a more even balance of deprivation and affluence</w:t>
      </w:r>
      <w:r w:rsidR="00645EA8" w:rsidRPr="00961B32">
        <w:rPr>
          <w:sz w:val="22"/>
          <w:szCs w:val="22"/>
        </w:rPr>
        <w:t>.  This means</w:t>
      </w:r>
      <w:r w:rsidR="0068644C" w:rsidRPr="00961B32">
        <w:rPr>
          <w:sz w:val="22"/>
          <w:szCs w:val="22"/>
        </w:rPr>
        <w:t xml:space="preserve"> that no one</w:t>
      </w:r>
      <w:r w:rsidR="00645EA8" w:rsidRPr="00961B32">
        <w:rPr>
          <w:sz w:val="22"/>
          <w:szCs w:val="22"/>
        </w:rPr>
        <w:t xml:space="preserve"> council will be over-exposed to rising statutory demand </w:t>
      </w:r>
      <w:r w:rsidR="001C2CCA" w:rsidRPr="00961B32">
        <w:rPr>
          <w:sz w:val="22"/>
          <w:szCs w:val="22"/>
        </w:rPr>
        <w:t xml:space="preserve">that is closely linked to deprivation, and all councils will have </w:t>
      </w:r>
      <w:r w:rsidR="005607AA" w:rsidRPr="00961B32">
        <w:rPr>
          <w:sz w:val="22"/>
          <w:szCs w:val="22"/>
        </w:rPr>
        <w:t>revenues that are well balanced against costs.</w:t>
      </w:r>
    </w:p>
    <w:p w14:paraId="5B37C2CC" w14:textId="77777777" w:rsidR="005607AA" w:rsidRPr="00961B32" w:rsidRDefault="005607AA" w:rsidP="005607AA">
      <w:pPr>
        <w:pStyle w:val="ListParagraph"/>
        <w:rPr>
          <w:sz w:val="22"/>
          <w:szCs w:val="22"/>
        </w:rPr>
      </w:pPr>
    </w:p>
    <w:p w14:paraId="0538F58A" w14:textId="77777777" w:rsidR="00FA1F59" w:rsidRPr="00961B32" w:rsidRDefault="00BD58DD" w:rsidP="002D3233">
      <w:pPr>
        <w:pStyle w:val="ListParagraph"/>
        <w:numPr>
          <w:ilvl w:val="0"/>
          <w:numId w:val="7"/>
        </w:numPr>
        <w:rPr>
          <w:sz w:val="22"/>
          <w:szCs w:val="22"/>
        </w:rPr>
      </w:pPr>
      <w:r w:rsidRPr="00961B32">
        <w:rPr>
          <w:i/>
          <w:iCs/>
          <w:sz w:val="22"/>
          <w:szCs w:val="22"/>
        </w:rPr>
        <w:t>Benefiting from s</w:t>
      </w:r>
      <w:r w:rsidR="002F63A1" w:rsidRPr="00961B32">
        <w:rPr>
          <w:i/>
          <w:iCs/>
          <w:sz w:val="22"/>
          <w:szCs w:val="22"/>
        </w:rPr>
        <w:t>ize and scale</w:t>
      </w:r>
      <w:r w:rsidR="002F63A1" w:rsidRPr="00961B32">
        <w:rPr>
          <w:sz w:val="22"/>
          <w:szCs w:val="22"/>
        </w:rPr>
        <w:t xml:space="preserve">: all councils will </w:t>
      </w:r>
      <w:r w:rsidR="007A3361" w:rsidRPr="00961B32">
        <w:rPr>
          <w:sz w:val="22"/>
          <w:szCs w:val="22"/>
        </w:rPr>
        <w:t>be between 560,000 and 730,000 people</w:t>
      </w:r>
      <w:r w:rsidR="004806C6" w:rsidRPr="00961B32">
        <w:rPr>
          <w:sz w:val="22"/>
          <w:szCs w:val="22"/>
        </w:rPr>
        <w:t>, consistent with the Government’s</w:t>
      </w:r>
      <w:r w:rsidR="00C906D9" w:rsidRPr="00961B32">
        <w:rPr>
          <w:sz w:val="22"/>
          <w:szCs w:val="22"/>
        </w:rPr>
        <w:t xml:space="preserve"> guidance</w:t>
      </w:r>
      <w:r w:rsidR="004806C6" w:rsidRPr="00961B32">
        <w:rPr>
          <w:sz w:val="22"/>
          <w:szCs w:val="22"/>
        </w:rPr>
        <w:t xml:space="preserve"> that new councils should be above 500,000 people</w:t>
      </w:r>
      <w:r w:rsidR="007A3361" w:rsidRPr="00961B32">
        <w:rPr>
          <w:sz w:val="22"/>
          <w:szCs w:val="22"/>
        </w:rPr>
        <w:t xml:space="preserve">.  </w:t>
      </w:r>
      <w:r w:rsidR="004806C6" w:rsidRPr="00961B32">
        <w:rPr>
          <w:sz w:val="22"/>
          <w:szCs w:val="22"/>
        </w:rPr>
        <w:t xml:space="preserve">This means they will benefit from economies of scale – for example in procurement – and they </w:t>
      </w:r>
      <w:r w:rsidR="00BC4066" w:rsidRPr="00961B32">
        <w:rPr>
          <w:sz w:val="22"/>
          <w:szCs w:val="22"/>
        </w:rPr>
        <w:t>will also have</w:t>
      </w:r>
      <w:r w:rsidR="004806C6" w:rsidRPr="00961B32">
        <w:rPr>
          <w:sz w:val="22"/>
          <w:szCs w:val="22"/>
        </w:rPr>
        <w:t xml:space="preserve"> </w:t>
      </w:r>
      <w:r w:rsidR="00DF13DE" w:rsidRPr="00961B32">
        <w:rPr>
          <w:sz w:val="22"/>
          <w:szCs w:val="22"/>
        </w:rPr>
        <w:t xml:space="preserve">larger budgets and therefore greater capacity to absorb financial shocks.  </w:t>
      </w:r>
      <w:r w:rsidR="0068644C" w:rsidRPr="00961B32">
        <w:rPr>
          <w:sz w:val="22"/>
          <w:szCs w:val="22"/>
        </w:rPr>
        <w:t xml:space="preserve"> </w:t>
      </w:r>
      <w:r w:rsidR="00E26E93" w:rsidRPr="00961B32">
        <w:rPr>
          <w:i/>
          <w:iCs/>
          <w:sz w:val="22"/>
          <w:szCs w:val="22"/>
        </w:rPr>
        <w:t xml:space="preserve"> </w:t>
      </w:r>
    </w:p>
    <w:p w14:paraId="7530520C" w14:textId="77777777" w:rsidR="009E714B" w:rsidRPr="00961B32" w:rsidRDefault="009E714B" w:rsidP="009E714B">
      <w:pPr>
        <w:pStyle w:val="ListParagraph"/>
        <w:rPr>
          <w:sz w:val="22"/>
          <w:szCs w:val="22"/>
        </w:rPr>
      </w:pPr>
    </w:p>
    <w:p w14:paraId="59C888EC" w14:textId="77777777" w:rsidR="009E714B" w:rsidRPr="00961B32" w:rsidRDefault="00D618C7" w:rsidP="002D3233">
      <w:pPr>
        <w:pStyle w:val="ListParagraph"/>
        <w:numPr>
          <w:ilvl w:val="0"/>
          <w:numId w:val="7"/>
        </w:numPr>
        <w:rPr>
          <w:i/>
          <w:iCs/>
          <w:sz w:val="22"/>
          <w:szCs w:val="22"/>
        </w:rPr>
      </w:pPr>
      <w:r w:rsidRPr="00961B32">
        <w:rPr>
          <w:i/>
          <w:iCs/>
          <w:sz w:val="22"/>
          <w:szCs w:val="22"/>
        </w:rPr>
        <w:t>Ensuring a more equitable disaggregation of ECC’s current budget:</w:t>
      </w:r>
      <w:r w:rsidRPr="00961B32">
        <w:rPr>
          <w:sz w:val="22"/>
          <w:szCs w:val="22"/>
        </w:rPr>
        <w:t xml:space="preserve"> </w:t>
      </w:r>
      <w:r w:rsidR="003476E9" w:rsidRPr="00961B32">
        <w:rPr>
          <w:sz w:val="22"/>
          <w:szCs w:val="22"/>
        </w:rPr>
        <w:t xml:space="preserve">Essex County Council’s current budget, at </w:t>
      </w:r>
      <w:r w:rsidR="002028B0" w:rsidRPr="00961B32">
        <w:rPr>
          <w:sz w:val="22"/>
          <w:szCs w:val="22"/>
        </w:rPr>
        <w:t>£1.2bn,</w:t>
      </w:r>
      <w:r w:rsidR="003476E9" w:rsidRPr="00961B32">
        <w:rPr>
          <w:sz w:val="22"/>
          <w:szCs w:val="22"/>
        </w:rPr>
        <w:t xml:space="preserve"> accounts for</w:t>
      </w:r>
      <w:r w:rsidR="002028B0" w:rsidRPr="00961B32">
        <w:rPr>
          <w:sz w:val="22"/>
          <w:szCs w:val="22"/>
        </w:rPr>
        <w:t xml:space="preserve"> two-thirds of net spend in Greater Essex.  The </w:t>
      </w:r>
      <w:r w:rsidR="000B3877" w:rsidRPr="00961B32">
        <w:rPr>
          <w:sz w:val="22"/>
          <w:szCs w:val="22"/>
        </w:rPr>
        <w:t xml:space="preserve">impacts of </w:t>
      </w:r>
      <w:r w:rsidR="002028B0" w:rsidRPr="00961B32">
        <w:rPr>
          <w:sz w:val="22"/>
          <w:szCs w:val="22"/>
        </w:rPr>
        <w:t>disaggregati</w:t>
      </w:r>
      <w:r w:rsidR="000B3877" w:rsidRPr="00961B32">
        <w:rPr>
          <w:sz w:val="22"/>
          <w:szCs w:val="22"/>
        </w:rPr>
        <w:t>ng its budget are therefore an important component in understanding the resilience of new councils.</w:t>
      </w:r>
      <w:r w:rsidR="00C157CD" w:rsidRPr="00961B32">
        <w:rPr>
          <w:sz w:val="22"/>
          <w:szCs w:val="22"/>
        </w:rPr>
        <w:t xml:space="preserve">  </w:t>
      </w:r>
      <w:r w:rsidR="00303A2E" w:rsidRPr="00961B32">
        <w:rPr>
          <w:sz w:val="22"/>
          <w:szCs w:val="22"/>
        </w:rPr>
        <w:t xml:space="preserve">The three unitary model best achieves this equity, with </w:t>
      </w:r>
      <w:r w:rsidR="00645A02" w:rsidRPr="00961B32">
        <w:rPr>
          <w:sz w:val="22"/>
          <w:szCs w:val="22"/>
        </w:rPr>
        <w:t xml:space="preserve">only </w:t>
      </w:r>
      <w:r w:rsidR="00781828" w:rsidRPr="00961B32">
        <w:rPr>
          <w:sz w:val="22"/>
          <w:szCs w:val="22"/>
        </w:rPr>
        <w:t xml:space="preserve">an 8.5% range between </w:t>
      </w:r>
      <w:r w:rsidR="00B11CB9" w:rsidRPr="00961B32">
        <w:rPr>
          <w:sz w:val="22"/>
          <w:szCs w:val="22"/>
        </w:rPr>
        <w:t xml:space="preserve">net budget surpluses and deficits arising from disaggregation.  By comparison, the five unitary model has </w:t>
      </w:r>
      <w:r w:rsidR="008979DC" w:rsidRPr="00961B32">
        <w:rPr>
          <w:sz w:val="22"/>
          <w:szCs w:val="22"/>
        </w:rPr>
        <w:t>double the spread, with a 17.4% range</w:t>
      </w:r>
      <w:r w:rsidR="00093D44" w:rsidRPr="00961B32">
        <w:rPr>
          <w:sz w:val="22"/>
          <w:szCs w:val="22"/>
        </w:rPr>
        <w:t xml:space="preserve"> between surpluses and deficits.  </w:t>
      </w:r>
      <w:r w:rsidR="000B3877" w:rsidRPr="00961B32">
        <w:rPr>
          <w:sz w:val="22"/>
          <w:szCs w:val="22"/>
        </w:rPr>
        <w:t xml:space="preserve">  </w:t>
      </w:r>
      <w:r w:rsidR="002028B0" w:rsidRPr="00961B32">
        <w:rPr>
          <w:sz w:val="22"/>
          <w:szCs w:val="22"/>
        </w:rPr>
        <w:t xml:space="preserve"> </w:t>
      </w:r>
      <w:r w:rsidR="003476E9" w:rsidRPr="00961B32">
        <w:rPr>
          <w:sz w:val="22"/>
          <w:szCs w:val="22"/>
        </w:rPr>
        <w:t xml:space="preserve"> </w:t>
      </w:r>
    </w:p>
    <w:p w14:paraId="7D39BB98" w14:textId="77777777" w:rsidR="00BD58DD" w:rsidRPr="00961B32" w:rsidRDefault="00BD58DD" w:rsidP="00BD58DD">
      <w:pPr>
        <w:pStyle w:val="ListParagraph"/>
        <w:rPr>
          <w:sz w:val="22"/>
          <w:szCs w:val="22"/>
        </w:rPr>
      </w:pPr>
    </w:p>
    <w:p w14:paraId="2ADEABB5" w14:textId="77777777" w:rsidR="00BD58DD" w:rsidRPr="00961B32" w:rsidRDefault="001C1573" w:rsidP="002D3233">
      <w:pPr>
        <w:pStyle w:val="ListParagraph"/>
        <w:numPr>
          <w:ilvl w:val="0"/>
          <w:numId w:val="7"/>
        </w:numPr>
        <w:rPr>
          <w:sz w:val="22"/>
          <w:szCs w:val="22"/>
        </w:rPr>
      </w:pPr>
      <w:r w:rsidRPr="00961B32">
        <w:rPr>
          <w:i/>
          <w:iCs/>
          <w:sz w:val="22"/>
          <w:szCs w:val="22"/>
        </w:rPr>
        <w:t>Better spreading and managing debt</w:t>
      </w:r>
      <w:r w:rsidRPr="00961B32">
        <w:rPr>
          <w:sz w:val="22"/>
          <w:szCs w:val="22"/>
        </w:rPr>
        <w:t xml:space="preserve">: </w:t>
      </w:r>
      <w:proofErr w:type="gramStart"/>
      <w:r w:rsidR="00366BF0" w:rsidRPr="00961B32">
        <w:rPr>
          <w:sz w:val="22"/>
          <w:szCs w:val="22"/>
        </w:rPr>
        <w:t>a number of</w:t>
      </w:r>
      <w:proofErr w:type="gramEnd"/>
      <w:r w:rsidR="00366BF0" w:rsidRPr="00961B32">
        <w:rPr>
          <w:sz w:val="22"/>
          <w:szCs w:val="22"/>
        </w:rPr>
        <w:t xml:space="preserve"> </w:t>
      </w:r>
      <w:r w:rsidR="002205F7" w:rsidRPr="00961B32">
        <w:rPr>
          <w:sz w:val="22"/>
          <w:szCs w:val="22"/>
        </w:rPr>
        <w:t>current authorities in Greater Essex (not just Thurrock) have relatively high levels of debt</w:t>
      </w:r>
      <w:r w:rsidR="00FC07DF" w:rsidRPr="00961B32">
        <w:rPr>
          <w:sz w:val="22"/>
          <w:szCs w:val="22"/>
        </w:rPr>
        <w:t xml:space="preserve">, with </w:t>
      </w:r>
      <w:r w:rsidR="00720737" w:rsidRPr="00961B32">
        <w:rPr>
          <w:sz w:val="22"/>
          <w:szCs w:val="22"/>
        </w:rPr>
        <w:t xml:space="preserve">the combined external debt </w:t>
      </w:r>
      <w:r w:rsidR="009B6C56" w:rsidRPr="00961B32">
        <w:rPr>
          <w:sz w:val="22"/>
          <w:szCs w:val="22"/>
        </w:rPr>
        <w:t>for Greater Essex councils standing at £4.124bn on 31</w:t>
      </w:r>
      <w:r w:rsidR="009B6C56" w:rsidRPr="00961B32">
        <w:rPr>
          <w:sz w:val="22"/>
          <w:szCs w:val="22"/>
          <w:vertAlign w:val="superscript"/>
        </w:rPr>
        <w:t>st</w:t>
      </w:r>
      <w:r w:rsidR="009B6C56" w:rsidRPr="00961B32">
        <w:rPr>
          <w:sz w:val="22"/>
          <w:szCs w:val="22"/>
        </w:rPr>
        <w:t xml:space="preserve"> March 2025.  D</w:t>
      </w:r>
      <w:r w:rsidR="00FC07DF" w:rsidRPr="00961B32">
        <w:rPr>
          <w:sz w:val="22"/>
          <w:szCs w:val="22"/>
        </w:rPr>
        <w:t>ebt levels and</w:t>
      </w:r>
      <w:r w:rsidR="00072124" w:rsidRPr="00961B32">
        <w:rPr>
          <w:sz w:val="22"/>
          <w:szCs w:val="22"/>
        </w:rPr>
        <w:t xml:space="preserve"> therefore debt</w:t>
      </w:r>
      <w:r w:rsidR="009B6C56" w:rsidRPr="00961B32">
        <w:rPr>
          <w:sz w:val="22"/>
          <w:szCs w:val="22"/>
        </w:rPr>
        <w:t xml:space="preserve"> </w:t>
      </w:r>
      <w:r w:rsidR="00FC07DF" w:rsidRPr="00961B32">
        <w:rPr>
          <w:sz w:val="22"/>
          <w:szCs w:val="22"/>
        </w:rPr>
        <w:t xml:space="preserve">servicing costs </w:t>
      </w:r>
      <w:r w:rsidR="009B6C56" w:rsidRPr="00961B32">
        <w:rPr>
          <w:sz w:val="22"/>
          <w:szCs w:val="22"/>
        </w:rPr>
        <w:t xml:space="preserve">are </w:t>
      </w:r>
      <w:r w:rsidR="00FC07DF" w:rsidRPr="00961B32">
        <w:rPr>
          <w:sz w:val="22"/>
          <w:szCs w:val="22"/>
        </w:rPr>
        <w:t xml:space="preserve">significantly higher in the south and west of the area.  </w:t>
      </w:r>
      <w:r w:rsidR="00080886" w:rsidRPr="00961B32">
        <w:rPr>
          <w:sz w:val="22"/>
          <w:szCs w:val="22"/>
        </w:rPr>
        <w:t xml:space="preserve">By creating three east-west authorities, our LGR model </w:t>
      </w:r>
      <w:r w:rsidR="000055A7" w:rsidRPr="00961B32">
        <w:rPr>
          <w:sz w:val="22"/>
          <w:szCs w:val="22"/>
        </w:rPr>
        <w:t xml:space="preserve">best spreads this debt across the geography and avoids new councils starting off on day one with a crippling </w:t>
      </w:r>
      <w:r w:rsidR="006D2CBD" w:rsidRPr="00961B32">
        <w:rPr>
          <w:sz w:val="22"/>
          <w:szCs w:val="22"/>
        </w:rPr>
        <w:t>position on inherited debt.</w:t>
      </w:r>
    </w:p>
    <w:p w14:paraId="3B6E1167" w14:textId="77777777" w:rsidR="00DD730F" w:rsidRPr="00961B32" w:rsidRDefault="00DD730F" w:rsidP="00890E66">
      <w:pPr>
        <w:rPr>
          <w:sz w:val="22"/>
          <w:szCs w:val="22"/>
        </w:rPr>
      </w:pPr>
    </w:p>
    <w:p w14:paraId="089E5D4F" w14:textId="33DA372C" w:rsidR="00890E66" w:rsidRPr="00632746" w:rsidRDefault="00632746" w:rsidP="00632746">
      <w:pPr>
        <w:ind w:left="720" w:hanging="720"/>
        <w:rPr>
          <w:b/>
          <w:bCs/>
          <w:color w:val="0070C0"/>
          <w:sz w:val="22"/>
          <w:szCs w:val="22"/>
        </w:rPr>
      </w:pPr>
      <w:r w:rsidRPr="00632746">
        <w:rPr>
          <w:b/>
          <w:bCs/>
          <w:color w:val="0070C0"/>
          <w:sz w:val="22"/>
          <w:szCs w:val="22"/>
        </w:rPr>
        <w:t>Q4</w:t>
      </w:r>
      <w:r w:rsidRPr="00632746">
        <w:rPr>
          <w:b/>
          <w:bCs/>
          <w:color w:val="0070C0"/>
          <w:sz w:val="22"/>
          <w:szCs w:val="22"/>
        </w:rPr>
        <w:tab/>
      </w:r>
      <w:r w:rsidR="00890E66" w:rsidRPr="00632746">
        <w:rPr>
          <w:b/>
          <w:bCs/>
          <w:color w:val="0070C0"/>
          <w:sz w:val="22"/>
          <w:szCs w:val="22"/>
        </w:rPr>
        <w:t xml:space="preserve">To what extent do you agree or disagree that this proposal will put local government in the area </w:t>
      </w:r>
      <w:proofErr w:type="gramStart"/>
      <w:r w:rsidR="00890E66" w:rsidRPr="00632746">
        <w:rPr>
          <w:b/>
          <w:bCs/>
          <w:color w:val="0070C0"/>
          <w:sz w:val="22"/>
          <w:szCs w:val="22"/>
        </w:rPr>
        <w:t>as a whole on</w:t>
      </w:r>
      <w:proofErr w:type="gramEnd"/>
      <w:r w:rsidR="00890E66" w:rsidRPr="00632746">
        <w:rPr>
          <w:b/>
          <w:bCs/>
          <w:color w:val="0070C0"/>
          <w:sz w:val="22"/>
          <w:szCs w:val="22"/>
        </w:rPr>
        <w:t xml:space="preserve"> a firmer footing, particularly given that some councils in the area are in Best Value intervention and in receipt of exceptional financial support? </w:t>
      </w:r>
    </w:p>
    <w:p w14:paraId="3E6E5EB7" w14:textId="77777777" w:rsidR="006D2CBD" w:rsidRPr="00961B32" w:rsidRDefault="006D2CBD" w:rsidP="00632746">
      <w:pPr>
        <w:ind w:left="720"/>
        <w:rPr>
          <w:sz w:val="22"/>
          <w:szCs w:val="22"/>
        </w:rPr>
      </w:pPr>
      <w:r w:rsidRPr="00961B32">
        <w:rPr>
          <w:b/>
          <w:bCs/>
          <w:sz w:val="22"/>
          <w:szCs w:val="22"/>
        </w:rPr>
        <w:t>Strongly agree:</w:t>
      </w:r>
      <w:r w:rsidRPr="00961B32">
        <w:rPr>
          <w:sz w:val="22"/>
          <w:szCs w:val="22"/>
        </w:rPr>
        <w:t xml:space="preserve"> </w:t>
      </w:r>
      <w:r w:rsidR="006662E5" w:rsidRPr="00961B32">
        <w:rPr>
          <w:sz w:val="22"/>
          <w:szCs w:val="22"/>
        </w:rPr>
        <w:t xml:space="preserve">Thurrock Council is currently in </w:t>
      </w:r>
      <w:r w:rsidR="00653A78" w:rsidRPr="00961B32">
        <w:rPr>
          <w:sz w:val="22"/>
          <w:szCs w:val="22"/>
        </w:rPr>
        <w:t>receipt of Exceptional Financial Support</w:t>
      </w:r>
      <w:r w:rsidR="00B31498" w:rsidRPr="00961B32">
        <w:rPr>
          <w:sz w:val="22"/>
          <w:szCs w:val="22"/>
        </w:rPr>
        <w:t xml:space="preserve">.  </w:t>
      </w:r>
      <w:r w:rsidR="00B41FB4" w:rsidRPr="00961B32">
        <w:rPr>
          <w:sz w:val="22"/>
          <w:szCs w:val="22"/>
        </w:rPr>
        <w:t xml:space="preserve">It has been agreed with Thurrock Commissioners </w:t>
      </w:r>
      <w:r w:rsidR="001A3B28" w:rsidRPr="00961B32">
        <w:rPr>
          <w:sz w:val="22"/>
          <w:szCs w:val="22"/>
        </w:rPr>
        <w:t xml:space="preserve">that all Greater Essex business cases should be modelled on </w:t>
      </w:r>
      <w:r w:rsidR="008E6B7A" w:rsidRPr="00961B32">
        <w:rPr>
          <w:sz w:val="22"/>
          <w:szCs w:val="22"/>
        </w:rPr>
        <w:t xml:space="preserve">the assumption that at least 50% of the Thurrock stranded debt </w:t>
      </w:r>
      <w:r w:rsidR="002377CA" w:rsidRPr="00961B32">
        <w:rPr>
          <w:sz w:val="22"/>
          <w:szCs w:val="22"/>
        </w:rPr>
        <w:t xml:space="preserve">is resolved with Government, and that Thurrock Council will continue to take robust measures </w:t>
      </w:r>
      <w:r w:rsidR="005F6F26" w:rsidRPr="00961B32">
        <w:rPr>
          <w:sz w:val="22"/>
          <w:szCs w:val="22"/>
        </w:rPr>
        <w:t xml:space="preserve">to pay down remaining debt in advance of the vesting of new authorities in 2028.  </w:t>
      </w:r>
      <w:r w:rsidR="00CA5A2D" w:rsidRPr="00961B32">
        <w:rPr>
          <w:sz w:val="22"/>
          <w:szCs w:val="22"/>
        </w:rPr>
        <w:t xml:space="preserve">Our three unitary </w:t>
      </w:r>
      <w:proofErr w:type="gramStart"/>
      <w:r w:rsidR="00882F69" w:rsidRPr="00961B32">
        <w:rPr>
          <w:sz w:val="22"/>
          <w:szCs w:val="22"/>
        </w:rPr>
        <w:t>proposal</w:t>
      </w:r>
      <w:proofErr w:type="gramEnd"/>
      <w:r w:rsidR="00CA5A2D" w:rsidRPr="00961B32">
        <w:rPr>
          <w:sz w:val="22"/>
          <w:szCs w:val="22"/>
        </w:rPr>
        <w:t xml:space="preserve"> </w:t>
      </w:r>
      <w:r w:rsidR="00196EE9" w:rsidRPr="00961B32">
        <w:rPr>
          <w:sz w:val="22"/>
          <w:szCs w:val="22"/>
        </w:rPr>
        <w:t xml:space="preserve">will put the local government system on a </w:t>
      </w:r>
      <w:r w:rsidR="00AD3694" w:rsidRPr="00961B32">
        <w:rPr>
          <w:sz w:val="22"/>
          <w:szCs w:val="22"/>
        </w:rPr>
        <w:t>firmer footing in this conte</w:t>
      </w:r>
      <w:r w:rsidR="009A140D" w:rsidRPr="00961B32">
        <w:rPr>
          <w:sz w:val="22"/>
          <w:szCs w:val="22"/>
        </w:rPr>
        <w:t>xt by</w:t>
      </w:r>
      <w:r w:rsidR="00196EE9" w:rsidRPr="00961B32">
        <w:rPr>
          <w:sz w:val="22"/>
          <w:szCs w:val="22"/>
        </w:rPr>
        <w:t xml:space="preserve"> being the most effective model at managing debt and </w:t>
      </w:r>
      <w:r w:rsidR="00C77C93" w:rsidRPr="00961B32">
        <w:rPr>
          <w:sz w:val="22"/>
          <w:szCs w:val="22"/>
        </w:rPr>
        <w:t>building resilience</w:t>
      </w:r>
      <w:r w:rsidR="00882F69" w:rsidRPr="00961B32">
        <w:rPr>
          <w:sz w:val="22"/>
          <w:szCs w:val="22"/>
        </w:rPr>
        <w:t xml:space="preserve"> (as described above)</w:t>
      </w:r>
      <w:r w:rsidR="00C77C93" w:rsidRPr="00961B32">
        <w:rPr>
          <w:sz w:val="22"/>
          <w:szCs w:val="22"/>
        </w:rPr>
        <w:t xml:space="preserve">.  Our </w:t>
      </w:r>
      <w:r w:rsidR="004A38DD" w:rsidRPr="00961B32">
        <w:rPr>
          <w:sz w:val="22"/>
          <w:szCs w:val="22"/>
        </w:rPr>
        <w:t>LGR proposal document</w:t>
      </w:r>
      <w:r w:rsidR="00C77C93" w:rsidRPr="00961B32">
        <w:rPr>
          <w:sz w:val="22"/>
          <w:szCs w:val="22"/>
        </w:rPr>
        <w:t xml:space="preserve"> also </w:t>
      </w:r>
      <w:r w:rsidR="004A38DD" w:rsidRPr="00961B32">
        <w:rPr>
          <w:sz w:val="22"/>
          <w:szCs w:val="22"/>
        </w:rPr>
        <w:t>sets out a range of measures for providing</w:t>
      </w:r>
      <w:r w:rsidR="00C77C93" w:rsidRPr="00961B32">
        <w:rPr>
          <w:sz w:val="22"/>
          <w:szCs w:val="22"/>
        </w:rPr>
        <w:t xml:space="preserve"> enhanced </w:t>
      </w:r>
      <w:r w:rsidR="004E2709" w:rsidRPr="00961B32">
        <w:rPr>
          <w:sz w:val="22"/>
          <w:szCs w:val="22"/>
        </w:rPr>
        <w:t xml:space="preserve">training and </w:t>
      </w:r>
      <w:r w:rsidR="00C77C93" w:rsidRPr="00961B32">
        <w:rPr>
          <w:sz w:val="22"/>
          <w:szCs w:val="22"/>
        </w:rPr>
        <w:t xml:space="preserve">support for elected </w:t>
      </w:r>
      <w:r w:rsidR="004A38DD" w:rsidRPr="00961B32">
        <w:rPr>
          <w:sz w:val="22"/>
          <w:szCs w:val="22"/>
        </w:rPr>
        <w:t>councillors</w:t>
      </w:r>
      <w:r w:rsidR="004119BD" w:rsidRPr="00961B32">
        <w:rPr>
          <w:sz w:val="22"/>
          <w:szCs w:val="22"/>
        </w:rPr>
        <w:t xml:space="preserve">.  This will help to </w:t>
      </w:r>
      <w:r w:rsidR="004E2709" w:rsidRPr="00961B32">
        <w:rPr>
          <w:sz w:val="22"/>
          <w:szCs w:val="22"/>
        </w:rPr>
        <w:t xml:space="preserve">ensure effective democratic leadership and oversight, reducing the risk of </w:t>
      </w:r>
      <w:r w:rsidR="007D50C5" w:rsidRPr="00961B32">
        <w:rPr>
          <w:sz w:val="22"/>
          <w:szCs w:val="22"/>
        </w:rPr>
        <w:t>future councils getting into difficulties and needing Exceptional Financial Support.</w:t>
      </w:r>
      <w:r w:rsidR="009A140D" w:rsidRPr="00961B32">
        <w:rPr>
          <w:sz w:val="22"/>
          <w:szCs w:val="22"/>
        </w:rPr>
        <w:t xml:space="preserve"> </w:t>
      </w:r>
    </w:p>
    <w:p w14:paraId="2B34631B" w14:textId="77777777" w:rsidR="00890E66" w:rsidRPr="00461C84" w:rsidRDefault="00890E66" w:rsidP="00890E66">
      <w:pPr>
        <w:rPr>
          <w:b/>
          <w:bCs/>
          <w:color w:val="0070C0"/>
          <w:sz w:val="22"/>
          <w:szCs w:val="22"/>
        </w:rPr>
      </w:pPr>
    </w:p>
    <w:p w14:paraId="13CAC75F" w14:textId="623F06D2" w:rsidR="00890E66" w:rsidRPr="00461C84" w:rsidRDefault="00461C84" w:rsidP="00461C84">
      <w:pPr>
        <w:ind w:left="720" w:hanging="720"/>
        <w:rPr>
          <w:b/>
          <w:bCs/>
          <w:color w:val="0070C0"/>
          <w:sz w:val="22"/>
          <w:szCs w:val="22"/>
        </w:rPr>
      </w:pPr>
      <w:r w:rsidRPr="00461C84">
        <w:rPr>
          <w:b/>
          <w:bCs/>
          <w:color w:val="0070C0"/>
          <w:sz w:val="22"/>
          <w:szCs w:val="22"/>
        </w:rPr>
        <w:t>Q5</w:t>
      </w:r>
      <w:r w:rsidRPr="00461C84">
        <w:rPr>
          <w:b/>
          <w:bCs/>
          <w:color w:val="0070C0"/>
          <w:sz w:val="22"/>
          <w:szCs w:val="22"/>
        </w:rPr>
        <w:tab/>
      </w:r>
      <w:r w:rsidR="00890E66" w:rsidRPr="00461C84">
        <w:rPr>
          <w:b/>
          <w:bCs/>
          <w:color w:val="0070C0"/>
          <w:sz w:val="22"/>
          <w:szCs w:val="22"/>
        </w:rPr>
        <w:t>To what extent do you agree or disagree that the proposed councils will deliver high quality, sustainable public services?</w:t>
      </w:r>
    </w:p>
    <w:p w14:paraId="654F42B4" w14:textId="77777777" w:rsidR="007D50C5" w:rsidRPr="00961B32" w:rsidRDefault="00AE3799" w:rsidP="00461C84">
      <w:pPr>
        <w:ind w:left="720"/>
        <w:rPr>
          <w:sz w:val="22"/>
          <w:szCs w:val="22"/>
        </w:rPr>
      </w:pPr>
      <w:r w:rsidRPr="00961B32">
        <w:rPr>
          <w:b/>
          <w:bCs/>
          <w:sz w:val="22"/>
          <w:szCs w:val="22"/>
        </w:rPr>
        <w:t>Strongly agree:</w:t>
      </w:r>
      <w:r w:rsidRPr="00961B32">
        <w:rPr>
          <w:sz w:val="22"/>
          <w:szCs w:val="22"/>
        </w:rPr>
        <w:t xml:space="preserve"> </w:t>
      </w:r>
      <w:r w:rsidR="00A364FB" w:rsidRPr="00961B32">
        <w:rPr>
          <w:sz w:val="22"/>
          <w:szCs w:val="22"/>
        </w:rPr>
        <w:t>Our three unitary LGR model will deliver high quality, sustainable public services by:</w:t>
      </w:r>
    </w:p>
    <w:p w14:paraId="2CBEE043" w14:textId="04385BC1" w:rsidR="00A364FB" w:rsidRPr="00961B32" w:rsidRDefault="004939BA" w:rsidP="004939BA">
      <w:pPr>
        <w:pStyle w:val="ListParagraph"/>
        <w:numPr>
          <w:ilvl w:val="0"/>
          <w:numId w:val="8"/>
        </w:numPr>
        <w:rPr>
          <w:sz w:val="22"/>
          <w:szCs w:val="22"/>
        </w:rPr>
      </w:pPr>
      <w:r w:rsidRPr="00961B32">
        <w:rPr>
          <w:i/>
          <w:iCs/>
          <w:sz w:val="22"/>
          <w:szCs w:val="22"/>
        </w:rPr>
        <w:t>Supporting critical services for vulnerable people</w:t>
      </w:r>
      <w:r w:rsidRPr="00961B32">
        <w:rPr>
          <w:sz w:val="22"/>
          <w:szCs w:val="22"/>
        </w:rPr>
        <w:t xml:space="preserve">: </w:t>
      </w:r>
      <w:r w:rsidR="00D76093" w:rsidRPr="00961B32">
        <w:rPr>
          <w:sz w:val="22"/>
          <w:szCs w:val="22"/>
        </w:rPr>
        <w:t xml:space="preserve">like other places, Greater Essex is facing rising demand and cost across critical services such as adult social care, children’s services, special educational needs, and homelessness.  </w:t>
      </w:r>
      <w:r w:rsidR="00E36A3E" w:rsidRPr="00961B32">
        <w:rPr>
          <w:sz w:val="22"/>
          <w:szCs w:val="22"/>
        </w:rPr>
        <w:t xml:space="preserve">Our model </w:t>
      </w:r>
      <w:r w:rsidR="00C80CC4" w:rsidRPr="00961B32">
        <w:rPr>
          <w:sz w:val="22"/>
          <w:szCs w:val="22"/>
        </w:rPr>
        <w:t xml:space="preserve">generates savings and </w:t>
      </w:r>
      <w:r w:rsidR="00374C32" w:rsidRPr="00961B32">
        <w:rPr>
          <w:sz w:val="22"/>
          <w:szCs w:val="22"/>
        </w:rPr>
        <w:t>creates councils that will have the scale and the financial resilience to be able to manage these rising demands</w:t>
      </w:r>
      <w:r w:rsidR="00C80CC4" w:rsidRPr="00961B32">
        <w:rPr>
          <w:sz w:val="22"/>
          <w:szCs w:val="22"/>
        </w:rPr>
        <w:t xml:space="preserve"> and costs without being overwhelmed by them.</w:t>
      </w:r>
      <w:r w:rsidR="00BA124B" w:rsidRPr="00961B32">
        <w:rPr>
          <w:sz w:val="22"/>
          <w:szCs w:val="22"/>
        </w:rPr>
        <w:t xml:space="preserve"> The three </w:t>
      </w:r>
      <w:r w:rsidR="007E5CEA" w:rsidRPr="00961B32">
        <w:rPr>
          <w:sz w:val="22"/>
          <w:szCs w:val="22"/>
        </w:rPr>
        <w:t>unitary</w:t>
      </w:r>
      <w:r w:rsidR="00BA124B" w:rsidRPr="00961B32">
        <w:rPr>
          <w:sz w:val="22"/>
          <w:szCs w:val="22"/>
        </w:rPr>
        <w:t xml:space="preserve"> model avoids unnecessarily fragmenting services that are rated as Good or Outstanding; avoids creating additional senior management and director roles by not creating more social care authorities than already exist; and avoids creating additional regulatory burdens on Care Quality Commission and Ofsted.</w:t>
      </w:r>
    </w:p>
    <w:p w14:paraId="31AE4142" w14:textId="77777777" w:rsidR="009D0EEE" w:rsidRPr="00961B32" w:rsidRDefault="009D0EEE" w:rsidP="009D0EEE">
      <w:pPr>
        <w:pStyle w:val="ListParagraph"/>
        <w:ind w:left="360"/>
        <w:rPr>
          <w:sz w:val="22"/>
          <w:szCs w:val="22"/>
        </w:rPr>
      </w:pPr>
    </w:p>
    <w:p w14:paraId="050A4F6E" w14:textId="56F97D76" w:rsidR="009D0EEE" w:rsidRPr="00961B32" w:rsidRDefault="00F3050C" w:rsidP="004939BA">
      <w:pPr>
        <w:pStyle w:val="ListParagraph"/>
        <w:numPr>
          <w:ilvl w:val="0"/>
          <w:numId w:val="8"/>
        </w:numPr>
        <w:rPr>
          <w:sz w:val="22"/>
          <w:szCs w:val="22"/>
        </w:rPr>
      </w:pPr>
      <w:r w:rsidRPr="00961B32">
        <w:rPr>
          <w:i/>
          <w:iCs/>
          <w:sz w:val="22"/>
          <w:szCs w:val="22"/>
        </w:rPr>
        <w:t xml:space="preserve">Integrating county and district services: </w:t>
      </w:r>
      <w:r w:rsidR="00F83F5C" w:rsidRPr="00961B32">
        <w:rPr>
          <w:sz w:val="22"/>
          <w:szCs w:val="22"/>
        </w:rPr>
        <w:t xml:space="preserve">bringing together existing services under one </w:t>
      </w:r>
      <w:r w:rsidR="00E871D8" w:rsidRPr="00961B32">
        <w:rPr>
          <w:sz w:val="22"/>
          <w:szCs w:val="22"/>
        </w:rPr>
        <w:t>authority</w:t>
      </w:r>
      <w:r w:rsidR="00F83F5C" w:rsidRPr="00961B32">
        <w:rPr>
          <w:sz w:val="22"/>
          <w:szCs w:val="22"/>
        </w:rPr>
        <w:t xml:space="preserve"> will enable </w:t>
      </w:r>
      <w:r w:rsidR="0023511E" w:rsidRPr="00961B32">
        <w:rPr>
          <w:sz w:val="22"/>
          <w:szCs w:val="22"/>
        </w:rPr>
        <w:t xml:space="preserve">services to be better designed around the needs of service users, and to be more accessible, based where people need them.  </w:t>
      </w:r>
      <w:r w:rsidR="00015524" w:rsidRPr="00961B32">
        <w:rPr>
          <w:sz w:val="22"/>
          <w:szCs w:val="22"/>
        </w:rPr>
        <w:t xml:space="preserve">Sharing data and insight will also enable better targeting of prevention and early intervention, for example to </w:t>
      </w:r>
      <w:r w:rsidR="006A48DC" w:rsidRPr="00961B32">
        <w:rPr>
          <w:sz w:val="22"/>
          <w:szCs w:val="22"/>
        </w:rPr>
        <w:t xml:space="preserve">prevent homelessness or </w:t>
      </w:r>
      <w:r w:rsidR="00D14723" w:rsidRPr="00961B32">
        <w:rPr>
          <w:sz w:val="22"/>
          <w:szCs w:val="22"/>
        </w:rPr>
        <w:t>to address mental health needs.</w:t>
      </w:r>
      <w:r w:rsidR="00AA5DF6" w:rsidRPr="00961B32">
        <w:rPr>
          <w:sz w:val="22"/>
          <w:szCs w:val="22"/>
        </w:rPr>
        <w:t xml:space="preserve">  Our three unitary model wil</w:t>
      </w:r>
      <w:r w:rsidR="0057487B" w:rsidRPr="00961B32">
        <w:rPr>
          <w:sz w:val="22"/>
          <w:szCs w:val="22"/>
        </w:rPr>
        <w:t>l enable this integration to happen both at a strategic level</w:t>
      </w:r>
      <w:r w:rsidR="009222C0" w:rsidRPr="00961B32">
        <w:rPr>
          <w:sz w:val="22"/>
          <w:szCs w:val="22"/>
        </w:rPr>
        <w:t xml:space="preserve"> and at a local level, through </w:t>
      </w:r>
      <w:r w:rsidR="0025403A" w:rsidRPr="00961B32">
        <w:rPr>
          <w:sz w:val="22"/>
          <w:szCs w:val="22"/>
        </w:rPr>
        <w:t>the Neighbourhood Delivery Committees.</w:t>
      </w:r>
    </w:p>
    <w:p w14:paraId="7795E941" w14:textId="77777777" w:rsidR="00C80CC4" w:rsidRPr="00961B32" w:rsidRDefault="00C80CC4" w:rsidP="00C80CC4">
      <w:pPr>
        <w:pStyle w:val="ListParagraph"/>
        <w:ind w:left="360"/>
        <w:rPr>
          <w:sz w:val="22"/>
          <w:szCs w:val="22"/>
        </w:rPr>
      </w:pPr>
    </w:p>
    <w:p w14:paraId="3F183076" w14:textId="2E67F012" w:rsidR="00E871D8" w:rsidRPr="00961B32" w:rsidRDefault="00E871D8" w:rsidP="00E871D8">
      <w:pPr>
        <w:pStyle w:val="ListParagraph"/>
        <w:numPr>
          <w:ilvl w:val="0"/>
          <w:numId w:val="8"/>
        </w:numPr>
        <w:rPr>
          <w:sz w:val="22"/>
          <w:szCs w:val="22"/>
        </w:rPr>
      </w:pPr>
      <w:r w:rsidRPr="00961B32">
        <w:rPr>
          <w:i/>
          <w:iCs/>
          <w:sz w:val="22"/>
          <w:szCs w:val="22"/>
        </w:rPr>
        <w:t>Enabling prevention, localism and transformation</w:t>
      </w:r>
      <w:r w:rsidRPr="00961B32">
        <w:rPr>
          <w:sz w:val="22"/>
          <w:szCs w:val="22"/>
        </w:rPr>
        <w:t xml:space="preserve">: however, it is not enough merely to manage demand.  We need to shift to a model that is more </w:t>
      </w:r>
      <w:proofErr w:type="gramStart"/>
      <w:r w:rsidRPr="00961B32">
        <w:rPr>
          <w:sz w:val="22"/>
          <w:szCs w:val="22"/>
        </w:rPr>
        <w:t>preventative</w:t>
      </w:r>
      <w:proofErr w:type="gramEnd"/>
      <w:r w:rsidRPr="00961B32">
        <w:rPr>
          <w:sz w:val="22"/>
          <w:szCs w:val="22"/>
        </w:rPr>
        <w:t xml:space="preserve"> and more community based, as set out in the NHS 10 Year Plan and the recent report of the Essex Caring Communities Commission.  Our three unitary model will enable this shift because it will create the financial headroom for new councils to invest in prevention and early intervention.  This will be married with a strong emphasis on locality working that will see neighbourhood health and care teams operating in communities, a focus on the role of community hubs and assets, and new Neighbourhood Delivery Committees influencing the shape of local service delivery.</w:t>
      </w:r>
    </w:p>
    <w:p w14:paraId="3747AAF0" w14:textId="77777777" w:rsidR="00587331" w:rsidRPr="00961B32" w:rsidRDefault="00587331" w:rsidP="00587331">
      <w:pPr>
        <w:pStyle w:val="ListParagraph"/>
        <w:rPr>
          <w:sz w:val="22"/>
          <w:szCs w:val="22"/>
        </w:rPr>
      </w:pPr>
    </w:p>
    <w:p w14:paraId="53758A1C" w14:textId="77777777" w:rsidR="00C80CC4" w:rsidRPr="00961B32" w:rsidRDefault="00587331" w:rsidP="008F6566">
      <w:pPr>
        <w:pStyle w:val="ListParagraph"/>
        <w:numPr>
          <w:ilvl w:val="0"/>
          <w:numId w:val="8"/>
        </w:numPr>
        <w:rPr>
          <w:sz w:val="22"/>
          <w:szCs w:val="22"/>
        </w:rPr>
      </w:pPr>
      <w:r w:rsidRPr="00961B32">
        <w:rPr>
          <w:i/>
          <w:iCs/>
          <w:sz w:val="22"/>
          <w:szCs w:val="22"/>
        </w:rPr>
        <w:t>Reducing the risks around transition</w:t>
      </w:r>
      <w:r w:rsidRPr="00961B32">
        <w:rPr>
          <w:sz w:val="22"/>
          <w:szCs w:val="22"/>
        </w:rPr>
        <w:t xml:space="preserve">: </w:t>
      </w:r>
      <w:r w:rsidR="009D0EEE" w:rsidRPr="00961B32">
        <w:rPr>
          <w:sz w:val="22"/>
          <w:szCs w:val="22"/>
        </w:rPr>
        <w:t xml:space="preserve">our model will </w:t>
      </w:r>
      <w:r w:rsidR="004B7152" w:rsidRPr="00961B32">
        <w:rPr>
          <w:sz w:val="22"/>
          <w:szCs w:val="22"/>
        </w:rPr>
        <w:t xml:space="preserve">be simpler to implement because it will avoid creating </w:t>
      </w:r>
      <w:r w:rsidR="00237D56" w:rsidRPr="00961B32">
        <w:rPr>
          <w:sz w:val="22"/>
          <w:szCs w:val="22"/>
        </w:rPr>
        <w:t xml:space="preserve">additional new social care, highways and public health authorities.  </w:t>
      </w:r>
      <w:r w:rsidR="00DB2266" w:rsidRPr="00961B32">
        <w:rPr>
          <w:sz w:val="22"/>
          <w:szCs w:val="22"/>
        </w:rPr>
        <w:t xml:space="preserve">This will make it quicker and easier to </w:t>
      </w:r>
      <w:r w:rsidR="003B78CD" w:rsidRPr="00961B32">
        <w:rPr>
          <w:sz w:val="22"/>
          <w:szCs w:val="22"/>
        </w:rPr>
        <w:t>disaggregate existing services and set up</w:t>
      </w:r>
      <w:r w:rsidR="00DB2266" w:rsidRPr="00961B32">
        <w:rPr>
          <w:sz w:val="22"/>
          <w:szCs w:val="22"/>
        </w:rPr>
        <w:t xml:space="preserve"> new service models, reducing the risk that </w:t>
      </w:r>
      <w:r w:rsidR="003B78CD" w:rsidRPr="00961B32">
        <w:rPr>
          <w:sz w:val="22"/>
          <w:szCs w:val="22"/>
        </w:rPr>
        <w:t xml:space="preserve">the transition to LGR will impact on the many vulnerable people who depend on these services. </w:t>
      </w:r>
      <w:r w:rsidR="00F36ECC" w:rsidRPr="00961B32">
        <w:rPr>
          <w:sz w:val="22"/>
          <w:szCs w:val="22"/>
        </w:rPr>
        <w:t xml:space="preserve"> </w:t>
      </w:r>
      <w:r w:rsidR="006C6D68" w:rsidRPr="00961B32">
        <w:rPr>
          <w:sz w:val="22"/>
          <w:szCs w:val="22"/>
        </w:rPr>
        <w:t xml:space="preserve">  </w:t>
      </w:r>
    </w:p>
    <w:p w14:paraId="5F40349A" w14:textId="77777777" w:rsidR="003B78CD" w:rsidRPr="00961B32" w:rsidRDefault="003B78CD" w:rsidP="003B78CD">
      <w:pPr>
        <w:pStyle w:val="ListParagraph"/>
        <w:rPr>
          <w:sz w:val="22"/>
          <w:szCs w:val="22"/>
        </w:rPr>
      </w:pPr>
    </w:p>
    <w:p w14:paraId="3D2EEF62" w14:textId="77777777" w:rsidR="003B78CD" w:rsidRPr="00961B32" w:rsidRDefault="003B78CD" w:rsidP="008F6566">
      <w:pPr>
        <w:pStyle w:val="ListParagraph"/>
        <w:numPr>
          <w:ilvl w:val="0"/>
          <w:numId w:val="8"/>
        </w:numPr>
        <w:rPr>
          <w:sz w:val="22"/>
          <w:szCs w:val="22"/>
        </w:rPr>
      </w:pPr>
      <w:r w:rsidRPr="00961B32">
        <w:rPr>
          <w:i/>
          <w:iCs/>
          <w:sz w:val="22"/>
          <w:szCs w:val="22"/>
        </w:rPr>
        <w:t>Facilitating system collaboration</w:t>
      </w:r>
      <w:r w:rsidR="00F3050C" w:rsidRPr="00961B32">
        <w:rPr>
          <w:sz w:val="22"/>
          <w:szCs w:val="22"/>
        </w:rPr>
        <w:t>:</w:t>
      </w:r>
      <w:r w:rsidR="00D14723" w:rsidRPr="00961B32">
        <w:rPr>
          <w:sz w:val="22"/>
          <w:szCs w:val="22"/>
        </w:rPr>
        <w:t xml:space="preserve"> a three unitary model will be simpler to work in and with.  This will facilitate </w:t>
      </w:r>
      <w:r w:rsidR="00647694" w:rsidRPr="00961B32">
        <w:rPr>
          <w:sz w:val="22"/>
          <w:szCs w:val="22"/>
        </w:rPr>
        <w:t>strong collaboration with the NHS, Police, the voluntary sector and other partners, helping to ensure that public services in Greater Essex operate as an integrated system towards common objectives, rather than in separate siloes.</w:t>
      </w:r>
    </w:p>
    <w:p w14:paraId="4CA24A9B" w14:textId="77777777" w:rsidR="00890E66" w:rsidRPr="00961B32" w:rsidRDefault="00890E66" w:rsidP="00890E66">
      <w:pPr>
        <w:rPr>
          <w:sz w:val="22"/>
          <w:szCs w:val="22"/>
        </w:rPr>
      </w:pPr>
      <w:r w:rsidRPr="00961B32">
        <w:rPr>
          <w:sz w:val="22"/>
          <w:szCs w:val="22"/>
        </w:rPr>
        <w:t> </w:t>
      </w:r>
    </w:p>
    <w:p w14:paraId="09150B81" w14:textId="51D3516E" w:rsidR="00890E66" w:rsidRPr="00461C84" w:rsidRDefault="00461C84" w:rsidP="00461C84">
      <w:pPr>
        <w:ind w:left="720" w:hanging="720"/>
        <w:rPr>
          <w:b/>
          <w:bCs/>
          <w:color w:val="0070C0"/>
          <w:sz w:val="22"/>
          <w:szCs w:val="22"/>
        </w:rPr>
      </w:pPr>
      <w:r w:rsidRPr="00461C84">
        <w:rPr>
          <w:b/>
          <w:bCs/>
          <w:color w:val="0070C0"/>
          <w:sz w:val="22"/>
          <w:szCs w:val="22"/>
        </w:rPr>
        <w:t>Q6</w:t>
      </w:r>
      <w:r w:rsidRPr="00461C84">
        <w:rPr>
          <w:b/>
          <w:bCs/>
          <w:color w:val="0070C0"/>
          <w:sz w:val="22"/>
          <w:szCs w:val="22"/>
        </w:rPr>
        <w:tab/>
      </w:r>
      <w:r w:rsidR="00890E66" w:rsidRPr="00461C84">
        <w:rPr>
          <w:b/>
          <w:bCs/>
          <w:color w:val="0070C0"/>
          <w:sz w:val="22"/>
          <w:szCs w:val="22"/>
        </w:rPr>
        <w:t xml:space="preserve">To what extent do you agree or disagree that the proposal has been informed by local views and will meet local needs? </w:t>
      </w:r>
    </w:p>
    <w:p w14:paraId="07671C9F" w14:textId="77777777" w:rsidR="00890E66" w:rsidRPr="00961B32" w:rsidRDefault="00463CAE" w:rsidP="00461C84">
      <w:pPr>
        <w:ind w:left="720"/>
        <w:rPr>
          <w:sz w:val="22"/>
          <w:szCs w:val="22"/>
        </w:rPr>
      </w:pPr>
      <w:r w:rsidRPr="00961B32">
        <w:rPr>
          <w:b/>
          <w:bCs/>
          <w:sz w:val="22"/>
          <w:szCs w:val="22"/>
        </w:rPr>
        <w:t>Strongly agree:</w:t>
      </w:r>
      <w:r w:rsidRPr="00961B32">
        <w:rPr>
          <w:sz w:val="22"/>
          <w:szCs w:val="22"/>
        </w:rPr>
        <w:t xml:space="preserve"> </w:t>
      </w:r>
      <w:r w:rsidR="005D3C4E" w:rsidRPr="00961B32">
        <w:rPr>
          <w:sz w:val="22"/>
          <w:szCs w:val="22"/>
        </w:rPr>
        <w:t xml:space="preserve">Greater Essex authorities carried out </w:t>
      </w:r>
      <w:r w:rsidR="00D166A5" w:rsidRPr="00961B32">
        <w:rPr>
          <w:sz w:val="22"/>
          <w:szCs w:val="22"/>
        </w:rPr>
        <w:t xml:space="preserve">a joint survey of </w:t>
      </w:r>
      <w:proofErr w:type="gramStart"/>
      <w:r w:rsidR="00D166A5" w:rsidRPr="00961B32">
        <w:rPr>
          <w:sz w:val="22"/>
          <w:szCs w:val="22"/>
        </w:rPr>
        <w:t>local residents</w:t>
      </w:r>
      <w:proofErr w:type="gramEnd"/>
      <w:r w:rsidR="00D166A5" w:rsidRPr="00961B32">
        <w:rPr>
          <w:sz w:val="22"/>
          <w:szCs w:val="22"/>
        </w:rPr>
        <w:t xml:space="preserve"> inviting their views on their priorities for LGR.  The results were clear.  </w:t>
      </w:r>
      <w:r w:rsidR="000C7685" w:rsidRPr="00961B32">
        <w:rPr>
          <w:sz w:val="22"/>
          <w:szCs w:val="22"/>
        </w:rPr>
        <w:t>Above all else</w:t>
      </w:r>
      <w:r w:rsidR="00D166A5" w:rsidRPr="00961B32">
        <w:rPr>
          <w:sz w:val="22"/>
          <w:szCs w:val="22"/>
        </w:rPr>
        <w:t>,</w:t>
      </w:r>
      <w:r w:rsidR="000C7685" w:rsidRPr="00961B32">
        <w:rPr>
          <w:sz w:val="22"/>
          <w:szCs w:val="22"/>
        </w:rPr>
        <w:t xml:space="preserve"> residents want LGR to deliver better services and better value for money.  Our proposal delivers </w:t>
      </w:r>
      <w:r w:rsidR="00E46AF3" w:rsidRPr="00961B32">
        <w:rPr>
          <w:sz w:val="22"/>
          <w:szCs w:val="22"/>
        </w:rPr>
        <w:t xml:space="preserve">this.  It is the only model that will deliver financial savings within the first five years, which is what the public expects.  These are savings that can be reinvested in improving public services and in keeping </w:t>
      </w:r>
      <w:r w:rsidR="00824069" w:rsidRPr="00961B32">
        <w:rPr>
          <w:sz w:val="22"/>
          <w:szCs w:val="22"/>
        </w:rPr>
        <w:t xml:space="preserve">tax as low as possible, rather than the money being spent on more councils, more offices, more bureaucracy.  </w:t>
      </w:r>
      <w:r w:rsidR="007B2A2C" w:rsidRPr="00961B32">
        <w:rPr>
          <w:sz w:val="22"/>
          <w:szCs w:val="22"/>
        </w:rPr>
        <w:t xml:space="preserve">As outlined earlier, our LGR proposal will also deliver better services </w:t>
      </w:r>
      <w:proofErr w:type="gramStart"/>
      <w:r w:rsidR="007B2A2C" w:rsidRPr="00961B32">
        <w:rPr>
          <w:sz w:val="22"/>
          <w:szCs w:val="22"/>
        </w:rPr>
        <w:t>and also</w:t>
      </w:r>
      <w:proofErr w:type="gramEnd"/>
      <w:r w:rsidR="007B2A2C" w:rsidRPr="00961B32">
        <w:rPr>
          <w:sz w:val="22"/>
          <w:szCs w:val="22"/>
        </w:rPr>
        <w:t xml:space="preserve"> </w:t>
      </w:r>
      <w:r w:rsidR="00FA1E29" w:rsidRPr="00961B32">
        <w:rPr>
          <w:sz w:val="22"/>
          <w:szCs w:val="22"/>
        </w:rPr>
        <w:t xml:space="preserve">support economic growth.  The strong measures on localism in our proposal (see further below) will ensure that </w:t>
      </w:r>
      <w:r w:rsidR="00735452" w:rsidRPr="00961B32">
        <w:rPr>
          <w:sz w:val="22"/>
          <w:szCs w:val="22"/>
        </w:rPr>
        <w:t xml:space="preserve">our LGR model will meet the needs of residents not just at the aggregate level, but in </w:t>
      </w:r>
      <w:proofErr w:type="gramStart"/>
      <w:r w:rsidR="00735452" w:rsidRPr="00961B32">
        <w:rPr>
          <w:sz w:val="22"/>
          <w:szCs w:val="22"/>
        </w:rPr>
        <w:t>each and every</w:t>
      </w:r>
      <w:proofErr w:type="gramEnd"/>
      <w:r w:rsidR="00735452" w:rsidRPr="00961B32">
        <w:rPr>
          <w:sz w:val="22"/>
          <w:szCs w:val="22"/>
        </w:rPr>
        <w:t xml:space="preserve"> neighbourhood across the area.</w:t>
      </w:r>
      <w:r w:rsidR="00D166A5" w:rsidRPr="00961B32">
        <w:rPr>
          <w:sz w:val="22"/>
          <w:szCs w:val="22"/>
        </w:rPr>
        <w:t xml:space="preserve"> </w:t>
      </w:r>
      <w:r w:rsidR="00890E66" w:rsidRPr="00961B32">
        <w:rPr>
          <w:sz w:val="22"/>
          <w:szCs w:val="22"/>
        </w:rPr>
        <w:t> </w:t>
      </w:r>
    </w:p>
    <w:p w14:paraId="19C1C18D" w14:textId="77777777" w:rsidR="00994123" w:rsidRPr="00961B32" w:rsidRDefault="00994123" w:rsidP="00890E66">
      <w:pPr>
        <w:rPr>
          <w:sz w:val="22"/>
          <w:szCs w:val="22"/>
        </w:rPr>
      </w:pPr>
    </w:p>
    <w:p w14:paraId="392B0422" w14:textId="08E1A0E8" w:rsidR="00890E66" w:rsidRPr="00461C84" w:rsidRDefault="00461C84" w:rsidP="00461C84">
      <w:pPr>
        <w:ind w:left="720" w:hanging="720"/>
        <w:rPr>
          <w:b/>
          <w:bCs/>
          <w:color w:val="0070C0"/>
          <w:sz w:val="22"/>
          <w:szCs w:val="22"/>
        </w:rPr>
      </w:pPr>
      <w:r w:rsidRPr="00461C84">
        <w:rPr>
          <w:b/>
          <w:bCs/>
          <w:color w:val="0070C0"/>
          <w:sz w:val="22"/>
          <w:szCs w:val="22"/>
        </w:rPr>
        <w:t>Q7</w:t>
      </w:r>
      <w:r w:rsidRPr="00461C84">
        <w:rPr>
          <w:b/>
          <w:bCs/>
          <w:color w:val="0070C0"/>
          <w:sz w:val="22"/>
          <w:szCs w:val="22"/>
        </w:rPr>
        <w:tab/>
      </w:r>
      <w:r w:rsidR="00890E66" w:rsidRPr="00461C84">
        <w:rPr>
          <w:b/>
          <w:bCs/>
          <w:color w:val="0070C0"/>
          <w:sz w:val="22"/>
          <w:szCs w:val="22"/>
        </w:rPr>
        <w:t>To what extent do you agree or disagree that establishing the councils in this proposal will support devolution arrangements, for example, the establishment of a strategic authority?</w:t>
      </w:r>
    </w:p>
    <w:p w14:paraId="424A51E3" w14:textId="77777777" w:rsidR="009051BA" w:rsidRPr="00961B32" w:rsidRDefault="009051BA" w:rsidP="00461C84">
      <w:pPr>
        <w:ind w:left="720"/>
        <w:rPr>
          <w:sz w:val="22"/>
          <w:szCs w:val="22"/>
        </w:rPr>
      </w:pPr>
      <w:r w:rsidRPr="00961B32">
        <w:rPr>
          <w:b/>
          <w:bCs/>
          <w:sz w:val="22"/>
          <w:szCs w:val="22"/>
        </w:rPr>
        <w:t xml:space="preserve">Strongly agree: </w:t>
      </w:r>
      <w:r w:rsidRPr="00961B32">
        <w:rPr>
          <w:sz w:val="22"/>
          <w:szCs w:val="22"/>
        </w:rPr>
        <w:t xml:space="preserve">Our plan fully supports the new devolution arrangements. The three unitaries represent coherent economic geographies and ensure that the key economic engines of growth are distributed across the new authorities. The population and economic size of these unitaries is reasonably coherent. For instance there is a 26% difference between the largest and smallest unitary by population size in our business case as opposed to a nearly 60% difference in population size between the smallest and largest authorities in the five unitary </w:t>
      </w:r>
      <w:proofErr w:type="gramStart"/>
      <w:r w:rsidRPr="00961B32">
        <w:rPr>
          <w:sz w:val="22"/>
          <w:szCs w:val="22"/>
        </w:rPr>
        <w:t>configuration</w:t>
      </w:r>
      <w:proofErr w:type="gramEnd"/>
      <w:r w:rsidRPr="00961B32">
        <w:rPr>
          <w:sz w:val="22"/>
          <w:szCs w:val="22"/>
        </w:rPr>
        <w:t xml:space="preserve">. Our business case takes the view that building the new Combined Authority </w:t>
      </w:r>
      <w:proofErr w:type="gramStart"/>
      <w:r w:rsidRPr="00961B32">
        <w:rPr>
          <w:sz w:val="22"/>
          <w:szCs w:val="22"/>
        </w:rPr>
        <w:t>on the basis of</w:t>
      </w:r>
      <w:proofErr w:type="gramEnd"/>
      <w:r w:rsidRPr="00961B32">
        <w:rPr>
          <w:sz w:val="22"/>
          <w:szCs w:val="22"/>
        </w:rPr>
        <w:t xml:space="preserve"> constituent members that are reasonably well matched will ensure the greatest chance for success.</w:t>
      </w:r>
    </w:p>
    <w:p w14:paraId="38343A85" w14:textId="77777777" w:rsidR="00890E66" w:rsidRPr="00961B32" w:rsidRDefault="00890E66" w:rsidP="00890E66">
      <w:pPr>
        <w:rPr>
          <w:sz w:val="22"/>
          <w:szCs w:val="22"/>
        </w:rPr>
      </w:pPr>
    </w:p>
    <w:p w14:paraId="46B5DDFA" w14:textId="39C2E049" w:rsidR="00890E66" w:rsidRPr="001F51FD" w:rsidRDefault="001F51FD" w:rsidP="001F51FD">
      <w:pPr>
        <w:ind w:left="720" w:hanging="720"/>
        <w:rPr>
          <w:b/>
          <w:bCs/>
          <w:color w:val="0070C0"/>
          <w:sz w:val="22"/>
          <w:szCs w:val="22"/>
        </w:rPr>
      </w:pPr>
      <w:r w:rsidRPr="001F51FD">
        <w:rPr>
          <w:b/>
          <w:bCs/>
          <w:color w:val="0070C0"/>
          <w:sz w:val="22"/>
          <w:szCs w:val="22"/>
        </w:rPr>
        <w:t>Q8</w:t>
      </w:r>
      <w:r w:rsidRPr="001F51FD">
        <w:rPr>
          <w:b/>
          <w:bCs/>
          <w:color w:val="0070C0"/>
          <w:sz w:val="22"/>
          <w:szCs w:val="22"/>
        </w:rPr>
        <w:tab/>
      </w:r>
      <w:r w:rsidR="00890E66" w:rsidRPr="001F51FD">
        <w:rPr>
          <w:b/>
          <w:bCs/>
          <w:color w:val="0070C0"/>
          <w:sz w:val="22"/>
          <w:szCs w:val="22"/>
        </w:rPr>
        <w:t>To what extent do you agree or disagree that the proposal enables stronger community engagement and gives the opportunity for neighbourhood empowerment?</w:t>
      </w:r>
    </w:p>
    <w:p w14:paraId="4A119B9B" w14:textId="77777777" w:rsidR="00001276" w:rsidRPr="00961B32" w:rsidRDefault="009A3E2B" w:rsidP="001F51FD">
      <w:pPr>
        <w:ind w:left="720"/>
        <w:rPr>
          <w:sz w:val="22"/>
          <w:szCs w:val="22"/>
        </w:rPr>
      </w:pPr>
      <w:r w:rsidRPr="00961B32">
        <w:rPr>
          <w:b/>
          <w:bCs/>
          <w:sz w:val="22"/>
          <w:szCs w:val="22"/>
        </w:rPr>
        <w:t>Strongly agree:</w:t>
      </w:r>
      <w:r w:rsidR="00890E66" w:rsidRPr="00961B32">
        <w:rPr>
          <w:sz w:val="22"/>
          <w:szCs w:val="22"/>
        </w:rPr>
        <w:t> </w:t>
      </w:r>
      <w:r w:rsidRPr="00961B32">
        <w:rPr>
          <w:sz w:val="22"/>
          <w:szCs w:val="22"/>
        </w:rPr>
        <w:t xml:space="preserve">Our plan will enable stronger community engagement and delivers genuine neighbourhood empowerment. Whether there are three, four or five councils in Essex, we will be creating large unitary authorities and therefore there is a premium on the importance of the local working arrangements that we put in place to ensure people feel even more connected and able to influence and shape the decisions that affect their lives and their communities. </w:t>
      </w:r>
    </w:p>
    <w:p w14:paraId="208B76B5" w14:textId="77777777" w:rsidR="009A3E2B" w:rsidRPr="00961B32" w:rsidRDefault="009A3E2B" w:rsidP="001F51FD">
      <w:pPr>
        <w:ind w:left="720"/>
        <w:rPr>
          <w:sz w:val="22"/>
          <w:szCs w:val="22"/>
        </w:rPr>
      </w:pPr>
      <w:r w:rsidRPr="00961B32">
        <w:rPr>
          <w:sz w:val="22"/>
          <w:szCs w:val="22"/>
        </w:rPr>
        <w:t>We are confident that the proposals that we have set out i</w:t>
      </w:r>
      <w:r w:rsidR="00001276" w:rsidRPr="00961B32">
        <w:rPr>
          <w:sz w:val="22"/>
          <w:szCs w:val="22"/>
        </w:rPr>
        <w:t>n our proposal</w:t>
      </w:r>
      <w:r w:rsidR="00606A04" w:rsidRPr="00961B32">
        <w:rPr>
          <w:sz w:val="22"/>
          <w:szCs w:val="22"/>
        </w:rPr>
        <w:t xml:space="preserve"> </w:t>
      </w:r>
      <w:r w:rsidRPr="00961B32">
        <w:rPr>
          <w:sz w:val="22"/>
          <w:szCs w:val="22"/>
        </w:rPr>
        <w:t xml:space="preserve">based on </w:t>
      </w:r>
      <w:r w:rsidR="00606A04" w:rsidRPr="00961B32">
        <w:rPr>
          <w:sz w:val="22"/>
          <w:szCs w:val="22"/>
        </w:rPr>
        <w:t xml:space="preserve"> </w:t>
      </w:r>
      <w:r w:rsidRPr="00961B32">
        <w:rPr>
          <w:sz w:val="22"/>
          <w:szCs w:val="22"/>
        </w:rPr>
        <w:t xml:space="preserve">Neighbourhood </w:t>
      </w:r>
      <w:r w:rsidR="00606A04" w:rsidRPr="00961B32">
        <w:rPr>
          <w:sz w:val="22"/>
          <w:szCs w:val="22"/>
        </w:rPr>
        <w:t>Delivery</w:t>
      </w:r>
      <w:r w:rsidRPr="00961B32">
        <w:rPr>
          <w:sz w:val="22"/>
          <w:szCs w:val="22"/>
        </w:rPr>
        <w:t xml:space="preserve"> Committees, backed by a comprehensive framework of powers and responsibilities and underpinned by an endowment to ensure that capacity funding is guaranteed into the medium-term - creates a system of local government that is more local than the current system and that extends the agency that people can exert over the issues that matter most to them.</w:t>
      </w:r>
    </w:p>
    <w:p w14:paraId="2155B8BA" w14:textId="77777777" w:rsidR="00890E66" w:rsidRPr="00961B32" w:rsidRDefault="00291845" w:rsidP="001F51FD">
      <w:pPr>
        <w:ind w:left="720"/>
        <w:rPr>
          <w:sz w:val="22"/>
          <w:szCs w:val="22"/>
        </w:rPr>
      </w:pPr>
      <w:r w:rsidRPr="00961B32">
        <w:rPr>
          <w:sz w:val="22"/>
          <w:szCs w:val="22"/>
        </w:rPr>
        <w:t xml:space="preserve">Community empowerment initiatives can sometimes fall foul of other pressures on statutory services. That </w:t>
      </w:r>
      <w:r w:rsidR="001D3EF9" w:rsidRPr="00961B32">
        <w:rPr>
          <w:sz w:val="22"/>
          <w:szCs w:val="22"/>
        </w:rPr>
        <w:t>creates a zero-sum dynamic in which</w:t>
      </w:r>
      <w:r w:rsidR="00A4234F" w:rsidRPr="00961B32">
        <w:rPr>
          <w:sz w:val="22"/>
          <w:szCs w:val="22"/>
        </w:rPr>
        <w:t xml:space="preserve"> public services do not have the capacity to work with the</w:t>
      </w:r>
      <w:r w:rsidR="00B94B1C" w:rsidRPr="00961B32">
        <w:rPr>
          <w:sz w:val="22"/>
          <w:szCs w:val="22"/>
        </w:rPr>
        <w:t xml:space="preserve"> assets that already exist in communities to support themselves</w:t>
      </w:r>
      <w:r w:rsidR="004976B2" w:rsidRPr="00961B32">
        <w:rPr>
          <w:sz w:val="22"/>
          <w:szCs w:val="22"/>
        </w:rPr>
        <w:t xml:space="preserve"> and thus to secure the prevention and resilience that in turn would</w:t>
      </w:r>
      <w:r w:rsidR="009B28DD" w:rsidRPr="00961B32">
        <w:rPr>
          <w:sz w:val="22"/>
          <w:szCs w:val="22"/>
        </w:rPr>
        <w:t xml:space="preserve"> release more capacity from public services. Financial</w:t>
      </w:r>
      <w:r w:rsidR="00794025" w:rsidRPr="00961B32">
        <w:rPr>
          <w:sz w:val="22"/>
          <w:szCs w:val="22"/>
        </w:rPr>
        <w:t>ly</w:t>
      </w:r>
      <w:r w:rsidR="009B28DD" w:rsidRPr="00961B32">
        <w:rPr>
          <w:sz w:val="22"/>
          <w:szCs w:val="22"/>
        </w:rPr>
        <w:t xml:space="preserve"> secure local authorities are the </w:t>
      </w:r>
      <w:proofErr w:type="gramStart"/>
      <w:r w:rsidR="009B28DD" w:rsidRPr="00961B32">
        <w:rPr>
          <w:sz w:val="22"/>
          <w:szCs w:val="22"/>
        </w:rPr>
        <w:t>bed-rock</w:t>
      </w:r>
      <w:proofErr w:type="gramEnd"/>
      <w:r w:rsidR="009B28DD" w:rsidRPr="00961B32">
        <w:rPr>
          <w:sz w:val="22"/>
          <w:szCs w:val="22"/>
        </w:rPr>
        <w:t xml:space="preserve"> of this system. Our three unitary model creates the most solid foundation</w:t>
      </w:r>
      <w:r w:rsidR="00794025" w:rsidRPr="00961B32">
        <w:rPr>
          <w:sz w:val="22"/>
          <w:szCs w:val="22"/>
        </w:rPr>
        <w:t xml:space="preserve"> on which we can be confident that investing</w:t>
      </w:r>
      <w:r w:rsidR="00272F6D" w:rsidRPr="00961B32">
        <w:rPr>
          <w:sz w:val="22"/>
          <w:szCs w:val="22"/>
        </w:rPr>
        <w:t xml:space="preserve"> in community and neighbourhood empowerment can be secured.</w:t>
      </w:r>
      <w:r w:rsidR="009B28DD" w:rsidRPr="00961B32">
        <w:rPr>
          <w:sz w:val="22"/>
          <w:szCs w:val="22"/>
        </w:rPr>
        <w:t xml:space="preserve"> </w:t>
      </w:r>
    </w:p>
    <w:p w14:paraId="709C692C" w14:textId="77777777" w:rsidR="00407565" w:rsidRPr="00961B32" w:rsidRDefault="00407565" w:rsidP="001F51FD">
      <w:pPr>
        <w:ind w:left="720"/>
        <w:rPr>
          <w:sz w:val="22"/>
          <w:szCs w:val="22"/>
        </w:rPr>
      </w:pPr>
      <w:r w:rsidRPr="00961B32">
        <w:rPr>
          <w:sz w:val="22"/>
          <w:szCs w:val="22"/>
        </w:rPr>
        <w:t>And we have committed, in our proposal, to</w:t>
      </w:r>
      <w:r w:rsidR="006916EF" w:rsidRPr="00961B32">
        <w:rPr>
          <w:sz w:val="22"/>
          <w:szCs w:val="22"/>
        </w:rPr>
        <w:t xml:space="preserve"> approach LGR in accordance with</w:t>
      </w:r>
      <w:r w:rsidRPr="00961B32">
        <w:rPr>
          <w:sz w:val="22"/>
          <w:szCs w:val="22"/>
        </w:rPr>
        <w:t xml:space="preserve"> the principles </w:t>
      </w:r>
      <w:r w:rsidR="002333FF" w:rsidRPr="00961B32">
        <w:rPr>
          <w:sz w:val="22"/>
          <w:szCs w:val="22"/>
        </w:rPr>
        <w:t>set out in the Joint Statement</w:t>
      </w:r>
      <w:r w:rsidR="006916EF" w:rsidRPr="00961B32">
        <w:rPr>
          <w:sz w:val="22"/>
          <w:szCs w:val="22"/>
        </w:rPr>
        <w:t xml:space="preserve"> from the Essex Community Foundation and the Local Infrastructure Organisations</w:t>
      </w:r>
      <w:r w:rsidR="00AA2392" w:rsidRPr="00961B32">
        <w:rPr>
          <w:sz w:val="22"/>
          <w:szCs w:val="22"/>
        </w:rPr>
        <w:t xml:space="preserve"> – that means involving our VCS partners fully in the design and build of the new authorities.</w:t>
      </w:r>
    </w:p>
    <w:p w14:paraId="3B7BA044" w14:textId="77777777" w:rsidR="00890E66" w:rsidRPr="00961B32" w:rsidRDefault="00890E66" w:rsidP="00890E66">
      <w:pPr>
        <w:rPr>
          <w:i/>
          <w:iCs/>
          <w:sz w:val="22"/>
          <w:szCs w:val="22"/>
        </w:rPr>
      </w:pPr>
    </w:p>
    <w:p w14:paraId="10C01E1B" w14:textId="77777777" w:rsidR="00890E66" w:rsidRPr="00961B32" w:rsidRDefault="00890E66" w:rsidP="001F51FD">
      <w:pPr>
        <w:ind w:firstLine="720"/>
        <w:rPr>
          <w:i/>
          <w:iCs/>
          <w:sz w:val="22"/>
          <w:szCs w:val="22"/>
        </w:rPr>
      </w:pPr>
      <w:r w:rsidRPr="00961B32">
        <w:rPr>
          <w:i/>
          <w:iCs/>
          <w:sz w:val="22"/>
          <w:szCs w:val="22"/>
        </w:rPr>
        <w:t>For questions 1 – 8, the following answers can be selected from:</w:t>
      </w:r>
    </w:p>
    <w:p w14:paraId="4F2AE929" w14:textId="77777777" w:rsidR="00890E66" w:rsidRPr="00961B32" w:rsidRDefault="00890E66" w:rsidP="00890E66">
      <w:pPr>
        <w:numPr>
          <w:ilvl w:val="0"/>
          <w:numId w:val="2"/>
        </w:numPr>
        <w:rPr>
          <w:i/>
          <w:iCs/>
          <w:sz w:val="22"/>
          <w:szCs w:val="22"/>
        </w:rPr>
      </w:pPr>
      <w:r w:rsidRPr="00961B32">
        <w:rPr>
          <w:i/>
          <w:iCs/>
          <w:sz w:val="22"/>
          <w:szCs w:val="22"/>
        </w:rPr>
        <w:t>Strongly agree.</w:t>
      </w:r>
    </w:p>
    <w:p w14:paraId="3C3FA6A8" w14:textId="77777777" w:rsidR="00890E66" w:rsidRPr="00961B32" w:rsidRDefault="00890E66" w:rsidP="00890E66">
      <w:pPr>
        <w:numPr>
          <w:ilvl w:val="0"/>
          <w:numId w:val="2"/>
        </w:numPr>
        <w:rPr>
          <w:i/>
          <w:iCs/>
          <w:sz w:val="22"/>
          <w:szCs w:val="22"/>
        </w:rPr>
      </w:pPr>
      <w:r w:rsidRPr="00961B32">
        <w:rPr>
          <w:i/>
          <w:iCs/>
          <w:sz w:val="22"/>
          <w:szCs w:val="22"/>
        </w:rPr>
        <w:t>Agree.</w:t>
      </w:r>
    </w:p>
    <w:p w14:paraId="70E94FEC" w14:textId="77777777" w:rsidR="00890E66" w:rsidRPr="00961B32" w:rsidRDefault="00890E66" w:rsidP="00890E66">
      <w:pPr>
        <w:numPr>
          <w:ilvl w:val="0"/>
          <w:numId w:val="2"/>
        </w:numPr>
        <w:rPr>
          <w:i/>
          <w:iCs/>
          <w:sz w:val="22"/>
          <w:szCs w:val="22"/>
        </w:rPr>
      </w:pPr>
      <w:r w:rsidRPr="00961B32">
        <w:rPr>
          <w:i/>
          <w:iCs/>
          <w:sz w:val="22"/>
          <w:szCs w:val="22"/>
        </w:rPr>
        <w:t>Neither agree nor disagree.</w:t>
      </w:r>
    </w:p>
    <w:p w14:paraId="41AC0938" w14:textId="77777777" w:rsidR="00890E66" w:rsidRPr="00961B32" w:rsidRDefault="00890E66" w:rsidP="00890E66">
      <w:pPr>
        <w:numPr>
          <w:ilvl w:val="0"/>
          <w:numId w:val="2"/>
        </w:numPr>
        <w:rPr>
          <w:i/>
          <w:iCs/>
          <w:sz w:val="22"/>
          <w:szCs w:val="22"/>
        </w:rPr>
      </w:pPr>
      <w:r w:rsidRPr="00961B32">
        <w:rPr>
          <w:i/>
          <w:iCs/>
          <w:sz w:val="22"/>
          <w:szCs w:val="22"/>
        </w:rPr>
        <w:t>Disagree.</w:t>
      </w:r>
    </w:p>
    <w:p w14:paraId="7FEA862D" w14:textId="77777777" w:rsidR="00890E66" w:rsidRPr="00961B32" w:rsidRDefault="00890E66" w:rsidP="00890E66">
      <w:pPr>
        <w:numPr>
          <w:ilvl w:val="0"/>
          <w:numId w:val="2"/>
        </w:numPr>
        <w:rPr>
          <w:i/>
          <w:iCs/>
          <w:sz w:val="22"/>
          <w:szCs w:val="22"/>
        </w:rPr>
      </w:pPr>
      <w:r w:rsidRPr="00961B32">
        <w:rPr>
          <w:i/>
          <w:iCs/>
          <w:sz w:val="22"/>
          <w:szCs w:val="22"/>
        </w:rPr>
        <w:t>Strongly disagree.</w:t>
      </w:r>
    </w:p>
    <w:p w14:paraId="632A6E92" w14:textId="77777777" w:rsidR="00890E66" w:rsidRPr="00961B32" w:rsidRDefault="00890E66" w:rsidP="009A3E2B">
      <w:pPr>
        <w:numPr>
          <w:ilvl w:val="0"/>
          <w:numId w:val="2"/>
        </w:numPr>
        <w:rPr>
          <w:sz w:val="22"/>
          <w:szCs w:val="22"/>
        </w:rPr>
      </w:pPr>
      <w:r w:rsidRPr="00961B32">
        <w:rPr>
          <w:i/>
          <w:iCs/>
          <w:sz w:val="22"/>
          <w:szCs w:val="22"/>
        </w:rPr>
        <w:t>Don’t know.</w:t>
      </w:r>
    </w:p>
    <w:sectPr w:rsidR="00890E66" w:rsidRPr="00961B32" w:rsidSect="00BD06DA">
      <w:footerReference w:type="default" r:id="rId8"/>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BB580" w14:textId="77777777" w:rsidR="005A02CA" w:rsidRDefault="005A02CA" w:rsidP="00FA6806">
      <w:pPr>
        <w:spacing w:after="0" w:line="240" w:lineRule="auto"/>
      </w:pPr>
      <w:r>
        <w:separator/>
      </w:r>
    </w:p>
  </w:endnote>
  <w:endnote w:type="continuationSeparator" w:id="0">
    <w:p w14:paraId="4122CDB6" w14:textId="77777777" w:rsidR="005A02CA" w:rsidRDefault="005A02CA" w:rsidP="00FA6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781434"/>
      <w:docPartObj>
        <w:docPartGallery w:val="Page Numbers (Bottom of Page)"/>
        <w:docPartUnique/>
      </w:docPartObj>
    </w:sdtPr>
    <w:sdtEndPr/>
    <w:sdtContent>
      <w:p w14:paraId="5ACC5924" w14:textId="77777777" w:rsidR="00FA6806" w:rsidRDefault="00FA6806">
        <w:pPr>
          <w:pStyle w:val="Footer"/>
          <w:jc w:val="center"/>
        </w:pPr>
        <w:r>
          <w:fldChar w:fldCharType="begin"/>
        </w:r>
        <w:r>
          <w:instrText>PAGE   \* MERGEFORMAT</w:instrText>
        </w:r>
        <w:r>
          <w:fldChar w:fldCharType="separate"/>
        </w:r>
        <w:r>
          <w:t>2</w:t>
        </w:r>
        <w:r>
          <w:fldChar w:fldCharType="end"/>
        </w:r>
      </w:p>
    </w:sdtContent>
  </w:sdt>
  <w:p w14:paraId="6C84AB84" w14:textId="77777777" w:rsidR="00FA6806" w:rsidRDefault="00FA6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361C" w14:textId="77777777" w:rsidR="005A02CA" w:rsidRDefault="005A02CA" w:rsidP="00FA6806">
      <w:pPr>
        <w:spacing w:after="0" w:line="240" w:lineRule="auto"/>
      </w:pPr>
      <w:r>
        <w:separator/>
      </w:r>
    </w:p>
  </w:footnote>
  <w:footnote w:type="continuationSeparator" w:id="0">
    <w:p w14:paraId="6BEF78DD" w14:textId="77777777" w:rsidR="005A02CA" w:rsidRDefault="005A02CA" w:rsidP="00FA6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843D5"/>
    <w:multiLevelType w:val="hybridMultilevel"/>
    <w:tmpl w:val="04F6A59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08849C5"/>
    <w:multiLevelType w:val="hybridMultilevel"/>
    <w:tmpl w:val="081ECE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054144"/>
    <w:multiLevelType w:val="multilevel"/>
    <w:tmpl w:val="F8BCDE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BB00B72"/>
    <w:multiLevelType w:val="hybridMultilevel"/>
    <w:tmpl w:val="2D043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4F1DDA"/>
    <w:multiLevelType w:val="hybridMultilevel"/>
    <w:tmpl w:val="CD3C12C6"/>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5" w15:restartNumberingAfterBreak="0">
    <w:nsid w:val="478C17F5"/>
    <w:multiLevelType w:val="hybridMultilevel"/>
    <w:tmpl w:val="9D542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B93AB5"/>
    <w:multiLevelType w:val="hybridMultilevel"/>
    <w:tmpl w:val="E2FEA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C111A7"/>
    <w:multiLevelType w:val="hybridMultilevel"/>
    <w:tmpl w:val="AF501F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8AB55E4"/>
    <w:multiLevelType w:val="hybridMultilevel"/>
    <w:tmpl w:val="A05C9A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8D106DF"/>
    <w:multiLevelType w:val="hybridMultilevel"/>
    <w:tmpl w:val="91001238"/>
    <w:lvl w:ilvl="0" w:tplc="08090011">
      <w:start w:val="1"/>
      <w:numFmt w:val="decimal"/>
      <w:lvlText w:val="%1)"/>
      <w:lvlJc w:val="left"/>
      <w:pPr>
        <w:ind w:left="360" w:hanging="360"/>
      </w:pPr>
      <w:rPr>
        <w:rFonts w:cs="Times New Roman"/>
      </w:rPr>
    </w:lvl>
    <w:lvl w:ilvl="1" w:tplc="08090019">
      <w:start w:val="1"/>
      <w:numFmt w:val="lowerLetter"/>
      <w:lvlText w:val="%2."/>
      <w:lvlJc w:val="left"/>
      <w:pPr>
        <w:ind w:left="1015" w:hanging="360"/>
      </w:pPr>
    </w:lvl>
    <w:lvl w:ilvl="2" w:tplc="0809001B">
      <w:start w:val="1"/>
      <w:numFmt w:val="lowerRoman"/>
      <w:lvlText w:val="%3."/>
      <w:lvlJc w:val="right"/>
      <w:pPr>
        <w:ind w:left="1735" w:hanging="180"/>
      </w:pPr>
    </w:lvl>
    <w:lvl w:ilvl="3" w:tplc="0809000F">
      <w:start w:val="1"/>
      <w:numFmt w:val="decimal"/>
      <w:lvlText w:val="%4."/>
      <w:lvlJc w:val="left"/>
      <w:pPr>
        <w:ind w:left="2455" w:hanging="360"/>
      </w:pPr>
    </w:lvl>
    <w:lvl w:ilvl="4" w:tplc="08090019">
      <w:start w:val="1"/>
      <w:numFmt w:val="lowerLetter"/>
      <w:lvlText w:val="%5."/>
      <w:lvlJc w:val="left"/>
      <w:pPr>
        <w:ind w:left="3175" w:hanging="360"/>
      </w:pPr>
    </w:lvl>
    <w:lvl w:ilvl="5" w:tplc="0809001B">
      <w:start w:val="1"/>
      <w:numFmt w:val="lowerRoman"/>
      <w:lvlText w:val="%6."/>
      <w:lvlJc w:val="right"/>
      <w:pPr>
        <w:ind w:left="3895" w:hanging="180"/>
      </w:pPr>
    </w:lvl>
    <w:lvl w:ilvl="6" w:tplc="0809000F">
      <w:start w:val="1"/>
      <w:numFmt w:val="decimal"/>
      <w:lvlText w:val="%7."/>
      <w:lvlJc w:val="left"/>
      <w:pPr>
        <w:ind w:left="4615" w:hanging="360"/>
      </w:pPr>
    </w:lvl>
    <w:lvl w:ilvl="7" w:tplc="08090019">
      <w:start w:val="1"/>
      <w:numFmt w:val="lowerLetter"/>
      <w:lvlText w:val="%8."/>
      <w:lvlJc w:val="left"/>
      <w:pPr>
        <w:ind w:left="5335" w:hanging="360"/>
      </w:pPr>
    </w:lvl>
    <w:lvl w:ilvl="8" w:tplc="0809001B">
      <w:start w:val="1"/>
      <w:numFmt w:val="lowerRoman"/>
      <w:lvlText w:val="%9."/>
      <w:lvlJc w:val="right"/>
      <w:pPr>
        <w:ind w:left="6055" w:hanging="180"/>
      </w:pPr>
    </w:lvl>
  </w:abstractNum>
  <w:abstractNum w:abstractNumId="10" w15:restartNumberingAfterBreak="0">
    <w:nsid w:val="60544F6E"/>
    <w:multiLevelType w:val="hybridMultilevel"/>
    <w:tmpl w:val="FBD4AB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DEA0543"/>
    <w:multiLevelType w:val="hybridMultilevel"/>
    <w:tmpl w:val="FFC613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E6867E7"/>
    <w:multiLevelType w:val="hybridMultilevel"/>
    <w:tmpl w:val="8B304DB8"/>
    <w:lvl w:ilvl="0" w:tplc="08D6504A">
      <w:start w:val="1"/>
      <w:numFmt w:val="bullet"/>
      <w:lvlText w:val="•"/>
      <w:lvlJc w:val="left"/>
      <w:pPr>
        <w:tabs>
          <w:tab w:val="num" w:pos="720"/>
        </w:tabs>
        <w:ind w:left="720" w:hanging="360"/>
      </w:pPr>
      <w:rPr>
        <w:rFonts w:ascii="Arial" w:hAnsi="Arial" w:hint="default"/>
      </w:rPr>
    </w:lvl>
    <w:lvl w:ilvl="1" w:tplc="A5F8B3F4" w:tentative="1">
      <w:start w:val="1"/>
      <w:numFmt w:val="bullet"/>
      <w:lvlText w:val="•"/>
      <w:lvlJc w:val="left"/>
      <w:pPr>
        <w:tabs>
          <w:tab w:val="num" w:pos="1440"/>
        </w:tabs>
        <w:ind w:left="1440" w:hanging="360"/>
      </w:pPr>
      <w:rPr>
        <w:rFonts w:ascii="Arial" w:hAnsi="Arial" w:hint="default"/>
      </w:rPr>
    </w:lvl>
    <w:lvl w:ilvl="2" w:tplc="4BC89B74" w:tentative="1">
      <w:start w:val="1"/>
      <w:numFmt w:val="bullet"/>
      <w:lvlText w:val="•"/>
      <w:lvlJc w:val="left"/>
      <w:pPr>
        <w:tabs>
          <w:tab w:val="num" w:pos="2160"/>
        </w:tabs>
        <w:ind w:left="2160" w:hanging="360"/>
      </w:pPr>
      <w:rPr>
        <w:rFonts w:ascii="Arial" w:hAnsi="Arial" w:hint="default"/>
      </w:rPr>
    </w:lvl>
    <w:lvl w:ilvl="3" w:tplc="4EFEDA4E" w:tentative="1">
      <w:start w:val="1"/>
      <w:numFmt w:val="bullet"/>
      <w:lvlText w:val="•"/>
      <w:lvlJc w:val="left"/>
      <w:pPr>
        <w:tabs>
          <w:tab w:val="num" w:pos="2880"/>
        </w:tabs>
        <w:ind w:left="2880" w:hanging="360"/>
      </w:pPr>
      <w:rPr>
        <w:rFonts w:ascii="Arial" w:hAnsi="Arial" w:hint="default"/>
      </w:rPr>
    </w:lvl>
    <w:lvl w:ilvl="4" w:tplc="654C7470" w:tentative="1">
      <w:start w:val="1"/>
      <w:numFmt w:val="bullet"/>
      <w:lvlText w:val="•"/>
      <w:lvlJc w:val="left"/>
      <w:pPr>
        <w:tabs>
          <w:tab w:val="num" w:pos="3600"/>
        </w:tabs>
        <w:ind w:left="3600" w:hanging="360"/>
      </w:pPr>
      <w:rPr>
        <w:rFonts w:ascii="Arial" w:hAnsi="Arial" w:hint="default"/>
      </w:rPr>
    </w:lvl>
    <w:lvl w:ilvl="5" w:tplc="75D4EBA4" w:tentative="1">
      <w:start w:val="1"/>
      <w:numFmt w:val="bullet"/>
      <w:lvlText w:val="•"/>
      <w:lvlJc w:val="left"/>
      <w:pPr>
        <w:tabs>
          <w:tab w:val="num" w:pos="4320"/>
        </w:tabs>
        <w:ind w:left="4320" w:hanging="360"/>
      </w:pPr>
      <w:rPr>
        <w:rFonts w:ascii="Arial" w:hAnsi="Arial" w:hint="default"/>
      </w:rPr>
    </w:lvl>
    <w:lvl w:ilvl="6" w:tplc="92262452" w:tentative="1">
      <w:start w:val="1"/>
      <w:numFmt w:val="bullet"/>
      <w:lvlText w:val="•"/>
      <w:lvlJc w:val="left"/>
      <w:pPr>
        <w:tabs>
          <w:tab w:val="num" w:pos="5040"/>
        </w:tabs>
        <w:ind w:left="5040" w:hanging="360"/>
      </w:pPr>
      <w:rPr>
        <w:rFonts w:ascii="Arial" w:hAnsi="Arial" w:hint="default"/>
      </w:rPr>
    </w:lvl>
    <w:lvl w:ilvl="7" w:tplc="A0BE19FE" w:tentative="1">
      <w:start w:val="1"/>
      <w:numFmt w:val="bullet"/>
      <w:lvlText w:val="•"/>
      <w:lvlJc w:val="left"/>
      <w:pPr>
        <w:tabs>
          <w:tab w:val="num" w:pos="5760"/>
        </w:tabs>
        <w:ind w:left="5760" w:hanging="360"/>
      </w:pPr>
      <w:rPr>
        <w:rFonts w:ascii="Arial" w:hAnsi="Arial" w:hint="default"/>
      </w:rPr>
    </w:lvl>
    <w:lvl w:ilvl="8" w:tplc="9814CFE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7C0482F"/>
    <w:multiLevelType w:val="hybridMultilevel"/>
    <w:tmpl w:val="100C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E42819"/>
    <w:multiLevelType w:val="multilevel"/>
    <w:tmpl w:val="EDF683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EC9474B"/>
    <w:multiLevelType w:val="hybridMultilevel"/>
    <w:tmpl w:val="78D61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11262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034237">
    <w:abstractNumId w:val="0"/>
  </w:num>
  <w:num w:numId="3" w16cid:durableId="637493852">
    <w:abstractNumId w:val="0"/>
  </w:num>
  <w:num w:numId="4" w16cid:durableId="755173791">
    <w:abstractNumId w:val="9"/>
  </w:num>
  <w:num w:numId="5" w16cid:durableId="1108232425">
    <w:abstractNumId w:val="10"/>
  </w:num>
  <w:num w:numId="6" w16cid:durableId="1151675917">
    <w:abstractNumId w:val="8"/>
  </w:num>
  <w:num w:numId="7" w16cid:durableId="1873028174">
    <w:abstractNumId w:val="11"/>
  </w:num>
  <w:num w:numId="8" w16cid:durableId="491068299">
    <w:abstractNumId w:val="7"/>
  </w:num>
  <w:num w:numId="9" w16cid:durableId="1777403084">
    <w:abstractNumId w:val="3"/>
  </w:num>
  <w:num w:numId="10" w16cid:durableId="1426340440">
    <w:abstractNumId w:val="15"/>
  </w:num>
  <w:num w:numId="11" w16cid:durableId="1666277391">
    <w:abstractNumId w:val="13"/>
  </w:num>
  <w:num w:numId="12" w16cid:durableId="1880775394">
    <w:abstractNumId w:val="5"/>
  </w:num>
  <w:num w:numId="13" w16cid:durableId="2055038083">
    <w:abstractNumId w:val="2"/>
  </w:num>
  <w:num w:numId="14" w16cid:durableId="406464191">
    <w:abstractNumId w:val="1"/>
  </w:num>
  <w:num w:numId="15" w16cid:durableId="782656458">
    <w:abstractNumId w:val="12"/>
  </w:num>
  <w:num w:numId="16" w16cid:durableId="2143116118">
    <w:abstractNumId w:val="4"/>
  </w:num>
  <w:num w:numId="17" w16cid:durableId="1582331456">
    <w:abstractNumId w:val="6"/>
  </w:num>
  <w:num w:numId="18" w16cid:durableId="2006305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66"/>
    <w:rsid w:val="00001110"/>
    <w:rsid w:val="00001276"/>
    <w:rsid w:val="000055A7"/>
    <w:rsid w:val="00015524"/>
    <w:rsid w:val="00053B6C"/>
    <w:rsid w:val="00072124"/>
    <w:rsid w:val="00080886"/>
    <w:rsid w:val="00093D44"/>
    <w:rsid w:val="000A6BDD"/>
    <w:rsid w:val="000A792B"/>
    <w:rsid w:val="000B302D"/>
    <w:rsid w:val="000B3877"/>
    <w:rsid w:val="000C3046"/>
    <w:rsid w:val="000C7685"/>
    <w:rsid w:val="000D3725"/>
    <w:rsid w:val="000E1AE1"/>
    <w:rsid w:val="000E5798"/>
    <w:rsid w:val="00100508"/>
    <w:rsid w:val="001043D5"/>
    <w:rsid w:val="00120DEA"/>
    <w:rsid w:val="0012284A"/>
    <w:rsid w:val="001576F5"/>
    <w:rsid w:val="00162A3E"/>
    <w:rsid w:val="00170E53"/>
    <w:rsid w:val="001718D3"/>
    <w:rsid w:val="001734F8"/>
    <w:rsid w:val="0017568E"/>
    <w:rsid w:val="00196EE9"/>
    <w:rsid w:val="00197BC6"/>
    <w:rsid w:val="001A3B28"/>
    <w:rsid w:val="001C1573"/>
    <w:rsid w:val="001C2CCA"/>
    <w:rsid w:val="001C5937"/>
    <w:rsid w:val="001C63E4"/>
    <w:rsid w:val="001D0AEC"/>
    <w:rsid w:val="001D3EF9"/>
    <w:rsid w:val="001E625F"/>
    <w:rsid w:val="001F51FD"/>
    <w:rsid w:val="002028B0"/>
    <w:rsid w:val="00203457"/>
    <w:rsid w:val="00210119"/>
    <w:rsid w:val="002205F7"/>
    <w:rsid w:val="002333FF"/>
    <w:rsid w:val="0023511E"/>
    <w:rsid w:val="002377CA"/>
    <w:rsid w:val="00237D56"/>
    <w:rsid w:val="0025403A"/>
    <w:rsid w:val="00265841"/>
    <w:rsid w:val="0026782F"/>
    <w:rsid w:val="0027221D"/>
    <w:rsid w:val="00272F6D"/>
    <w:rsid w:val="00281B80"/>
    <w:rsid w:val="002835D0"/>
    <w:rsid w:val="00283E37"/>
    <w:rsid w:val="00291845"/>
    <w:rsid w:val="00295288"/>
    <w:rsid w:val="002A6EF3"/>
    <w:rsid w:val="002B5812"/>
    <w:rsid w:val="002D3233"/>
    <w:rsid w:val="002F5D63"/>
    <w:rsid w:val="002F63A1"/>
    <w:rsid w:val="00303A2E"/>
    <w:rsid w:val="00317E8E"/>
    <w:rsid w:val="00320853"/>
    <w:rsid w:val="003238EF"/>
    <w:rsid w:val="00337467"/>
    <w:rsid w:val="00345206"/>
    <w:rsid w:val="003453E4"/>
    <w:rsid w:val="003469DB"/>
    <w:rsid w:val="003476E9"/>
    <w:rsid w:val="00366BF0"/>
    <w:rsid w:val="00372584"/>
    <w:rsid w:val="00374C32"/>
    <w:rsid w:val="00392157"/>
    <w:rsid w:val="00394AF9"/>
    <w:rsid w:val="003A0A90"/>
    <w:rsid w:val="003A2090"/>
    <w:rsid w:val="003B34D1"/>
    <w:rsid w:val="003B5277"/>
    <w:rsid w:val="003B78CD"/>
    <w:rsid w:val="003E5341"/>
    <w:rsid w:val="00407565"/>
    <w:rsid w:val="004119BD"/>
    <w:rsid w:val="004259FA"/>
    <w:rsid w:val="00427C7D"/>
    <w:rsid w:val="004314F6"/>
    <w:rsid w:val="00461C84"/>
    <w:rsid w:val="00463CAE"/>
    <w:rsid w:val="0047523C"/>
    <w:rsid w:val="004806C6"/>
    <w:rsid w:val="004939BA"/>
    <w:rsid w:val="004976B2"/>
    <w:rsid w:val="004A38DD"/>
    <w:rsid w:val="004B7152"/>
    <w:rsid w:val="004E2709"/>
    <w:rsid w:val="004F7C21"/>
    <w:rsid w:val="00500E14"/>
    <w:rsid w:val="00503F3E"/>
    <w:rsid w:val="005069F6"/>
    <w:rsid w:val="005073C6"/>
    <w:rsid w:val="005220C7"/>
    <w:rsid w:val="005607AA"/>
    <w:rsid w:val="00564ACA"/>
    <w:rsid w:val="00567FDE"/>
    <w:rsid w:val="00574209"/>
    <w:rsid w:val="0057487B"/>
    <w:rsid w:val="00581F0E"/>
    <w:rsid w:val="005833FA"/>
    <w:rsid w:val="00587331"/>
    <w:rsid w:val="00590AEA"/>
    <w:rsid w:val="005940B5"/>
    <w:rsid w:val="00596BDC"/>
    <w:rsid w:val="005A02CA"/>
    <w:rsid w:val="005A5CB2"/>
    <w:rsid w:val="005D3C4E"/>
    <w:rsid w:val="005E750D"/>
    <w:rsid w:val="005F6F26"/>
    <w:rsid w:val="00606A04"/>
    <w:rsid w:val="00632746"/>
    <w:rsid w:val="00645A02"/>
    <w:rsid w:val="00645EA8"/>
    <w:rsid w:val="00646507"/>
    <w:rsid w:val="00647694"/>
    <w:rsid w:val="00653A78"/>
    <w:rsid w:val="0066201F"/>
    <w:rsid w:val="006662E5"/>
    <w:rsid w:val="006702B7"/>
    <w:rsid w:val="006705A6"/>
    <w:rsid w:val="00670F17"/>
    <w:rsid w:val="006771C9"/>
    <w:rsid w:val="0068644C"/>
    <w:rsid w:val="006916EF"/>
    <w:rsid w:val="006937B1"/>
    <w:rsid w:val="006A48DC"/>
    <w:rsid w:val="006B2D94"/>
    <w:rsid w:val="006B312B"/>
    <w:rsid w:val="006C6D68"/>
    <w:rsid w:val="006D2CBD"/>
    <w:rsid w:val="006E0057"/>
    <w:rsid w:val="006E3023"/>
    <w:rsid w:val="006F42FE"/>
    <w:rsid w:val="00720737"/>
    <w:rsid w:val="00725336"/>
    <w:rsid w:val="00735452"/>
    <w:rsid w:val="00763015"/>
    <w:rsid w:val="00781828"/>
    <w:rsid w:val="0078712C"/>
    <w:rsid w:val="00794025"/>
    <w:rsid w:val="007954D7"/>
    <w:rsid w:val="007A3361"/>
    <w:rsid w:val="007B2A2C"/>
    <w:rsid w:val="007B5179"/>
    <w:rsid w:val="007D36D9"/>
    <w:rsid w:val="007D50C5"/>
    <w:rsid w:val="007E5CEA"/>
    <w:rsid w:val="007E692A"/>
    <w:rsid w:val="0080159C"/>
    <w:rsid w:val="008066E6"/>
    <w:rsid w:val="00811C85"/>
    <w:rsid w:val="008175EC"/>
    <w:rsid w:val="00824069"/>
    <w:rsid w:val="00834DCE"/>
    <w:rsid w:val="008502B3"/>
    <w:rsid w:val="00851D72"/>
    <w:rsid w:val="00851F13"/>
    <w:rsid w:val="00863D37"/>
    <w:rsid w:val="00882F69"/>
    <w:rsid w:val="00890E66"/>
    <w:rsid w:val="008979DC"/>
    <w:rsid w:val="008B2764"/>
    <w:rsid w:val="008B432B"/>
    <w:rsid w:val="008C01E0"/>
    <w:rsid w:val="008C7A47"/>
    <w:rsid w:val="008E36F6"/>
    <w:rsid w:val="008E6B7A"/>
    <w:rsid w:val="008F0AEE"/>
    <w:rsid w:val="008F6566"/>
    <w:rsid w:val="009051BA"/>
    <w:rsid w:val="00907035"/>
    <w:rsid w:val="00912902"/>
    <w:rsid w:val="009222C0"/>
    <w:rsid w:val="00924105"/>
    <w:rsid w:val="00931334"/>
    <w:rsid w:val="00944808"/>
    <w:rsid w:val="00944B51"/>
    <w:rsid w:val="00954AFF"/>
    <w:rsid w:val="00961B32"/>
    <w:rsid w:val="00987194"/>
    <w:rsid w:val="00994123"/>
    <w:rsid w:val="009A140D"/>
    <w:rsid w:val="009A3E2B"/>
    <w:rsid w:val="009B28DD"/>
    <w:rsid w:val="009B6C56"/>
    <w:rsid w:val="009D0EEE"/>
    <w:rsid w:val="009E714B"/>
    <w:rsid w:val="00A1082E"/>
    <w:rsid w:val="00A35E3F"/>
    <w:rsid w:val="00A364FB"/>
    <w:rsid w:val="00A4234F"/>
    <w:rsid w:val="00A456A8"/>
    <w:rsid w:val="00A51056"/>
    <w:rsid w:val="00A51963"/>
    <w:rsid w:val="00A52E16"/>
    <w:rsid w:val="00A627AB"/>
    <w:rsid w:val="00A66230"/>
    <w:rsid w:val="00AA2392"/>
    <w:rsid w:val="00AA5DF6"/>
    <w:rsid w:val="00AC00D3"/>
    <w:rsid w:val="00AC1D1C"/>
    <w:rsid w:val="00AC339A"/>
    <w:rsid w:val="00AD3694"/>
    <w:rsid w:val="00AE3799"/>
    <w:rsid w:val="00B11CB9"/>
    <w:rsid w:val="00B125B3"/>
    <w:rsid w:val="00B31498"/>
    <w:rsid w:val="00B41FB4"/>
    <w:rsid w:val="00B56948"/>
    <w:rsid w:val="00B94B1C"/>
    <w:rsid w:val="00B95D77"/>
    <w:rsid w:val="00BA124B"/>
    <w:rsid w:val="00BB3FF8"/>
    <w:rsid w:val="00BB6541"/>
    <w:rsid w:val="00BC4066"/>
    <w:rsid w:val="00BD06DA"/>
    <w:rsid w:val="00BD58DD"/>
    <w:rsid w:val="00C00D95"/>
    <w:rsid w:val="00C157CD"/>
    <w:rsid w:val="00C1623B"/>
    <w:rsid w:val="00C248F7"/>
    <w:rsid w:val="00C53EA0"/>
    <w:rsid w:val="00C562D2"/>
    <w:rsid w:val="00C661F4"/>
    <w:rsid w:val="00C70DEA"/>
    <w:rsid w:val="00C77C93"/>
    <w:rsid w:val="00C80CC4"/>
    <w:rsid w:val="00C8193E"/>
    <w:rsid w:val="00C854F7"/>
    <w:rsid w:val="00C906D9"/>
    <w:rsid w:val="00CA5A2D"/>
    <w:rsid w:val="00CA6F54"/>
    <w:rsid w:val="00CB6A98"/>
    <w:rsid w:val="00CC178D"/>
    <w:rsid w:val="00CC1A40"/>
    <w:rsid w:val="00CC29A4"/>
    <w:rsid w:val="00D01CF8"/>
    <w:rsid w:val="00D10F5B"/>
    <w:rsid w:val="00D14723"/>
    <w:rsid w:val="00D166A5"/>
    <w:rsid w:val="00D25152"/>
    <w:rsid w:val="00D618C7"/>
    <w:rsid w:val="00D759FE"/>
    <w:rsid w:val="00D76093"/>
    <w:rsid w:val="00D84678"/>
    <w:rsid w:val="00DA4176"/>
    <w:rsid w:val="00DB2266"/>
    <w:rsid w:val="00DC79EE"/>
    <w:rsid w:val="00DD4388"/>
    <w:rsid w:val="00DD4BC7"/>
    <w:rsid w:val="00DD526F"/>
    <w:rsid w:val="00DD63C0"/>
    <w:rsid w:val="00DD730F"/>
    <w:rsid w:val="00DE5C35"/>
    <w:rsid w:val="00DF13DE"/>
    <w:rsid w:val="00E21DDA"/>
    <w:rsid w:val="00E26E93"/>
    <w:rsid w:val="00E36A3E"/>
    <w:rsid w:val="00E36C0E"/>
    <w:rsid w:val="00E36FF6"/>
    <w:rsid w:val="00E42D8F"/>
    <w:rsid w:val="00E43CBF"/>
    <w:rsid w:val="00E46AF3"/>
    <w:rsid w:val="00E7343C"/>
    <w:rsid w:val="00E871D8"/>
    <w:rsid w:val="00E924AD"/>
    <w:rsid w:val="00EF2D6D"/>
    <w:rsid w:val="00F15B4B"/>
    <w:rsid w:val="00F3050C"/>
    <w:rsid w:val="00F36ECC"/>
    <w:rsid w:val="00F510A4"/>
    <w:rsid w:val="00F53A40"/>
    <w:rsid w:val="00F727E8"/>
    <w:rsid w:val="00F83F5C"/>
    <w:rsid w:val="00F9415E"/>
    <w:rsid w:val="00FA1E29"/>
    <w:rsid w:val="00FA1F59"/>
    <w:rsid w:val="00FA6806"/>
    <w:rsid w:val="00FC07DF"/>
    <w:rsid w:val="00FC28A9"/>
    <w:rsid w:val="00FD78B5"/>
    <w:rsid w:val="00FE2F3D"/>
    <w:rsid w:val="00FE3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B29E7"/>
  <w15:chartTrackingRefBased/>
  <w15:docId w15:val="{841D75E2-C15B-4018-8F7F-C13FEC19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66"/>
    <w:rPr>
      <w:rFonts w:eastAsiaTheme="majorEastAsia" w:cstheme="majorBidi"/>
      <w:color w:val="272727" w:themeColor="text1" w:themeTint="D8"/>
    </w:rPr>
  </w:style>
  <w:style w:type="paragraph" w:styleId="Title">
    <w:name w:val="Title"/>
    <w:basedOn w:val="Normal"/>
    <w:next w:val="Normal"/>
    <w:link w:val="TitleChar"/>
    <w:uiPriority w:val="10"/>
    <w:qFormat/>
    <w:rsid w:val="00890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66"/>
    <w:pPr>
      <w:spacing w:before="160"/>
      <w:jc w:val="center"/>
    </w:pPr>
    <w:rPr>
      <w:i/>
      <w:iCs/>
      <w:color w:val="404040" w:themeColor="text1" w:themeTint="BF"/>
    </w:rPr>
  </w:style>
  <w:style w:type="character" w:customStyle="1" w:styleId="QuoteChar">
    <w:name w:val="Quote Char"/>
    <w:basedOn w:val="DefaultParagraphFont"/>
    <w:link w:val="Quote"/>
    <w:uiPriority w:val="29"/>
    <w:rsid w:val="00890E66"/>
    <w:rPr>
      <w:i/>
      <w:iCs/>
      <w:color w:val="404040" w:themeColor="text1" w:themeTint="BF"/>
    </w:rPr>
  </w:style>
  <w:style w:type="paragraph" w:styleId="ListParagraph">
    <w:name w:val="List Paragraph"/>
    <w:basedOn w:val="Normal"/>
    <w:uiPriority w:val="34"/>
    <w:qFormat/>
    <w:rsid w:val="00890E66"/>
    <w:pPr>
      <w:ind w:left="720"/>
      <w:contextualSpacing/>
    </w:pPr>
  </w:style>
  <w:style w:type="character" w:styleId="IntenseEmphasis">
    <w:name w:val="Intense Emphasis"/>
    <w:basedOn w:val="DefaultParagraphFont"/>
    <w:uiPriority w:val="21"/>
    <w:qFormat/>
    <w:rsid w:val="00890E66"/>
    <w:rPr>
      <w:i/>
      <w:iCs/>
      <w:color w:val="0F4761" w:themeColor="accent1" w:themeShade="BF"/>
    </w:rPr>
  </w:style>
  <w:style w:type="paragraph" w:styleId="IntenseQuote">
    <w:name w:val="Intense Quote"/>
    <w:basedOn w:val="Normal"/>
    <w:next w:val="Normal"/>
    <w:link w:val="IntenseQuoteChar"/>
    <w:uiPriority w:val="30"/>
    <w:qFormat/>
    <w:rsid w:val="00890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66"/>
    <w:rPr>
      <w:i/>
      <w:iCs/>
      <w:color w:val="0F4761" w:themeColor="accent1" w:themeShade="BF"/>
    </w:rPr>
  </w:style>
  <w:style w:type="character" w:styleId="IntenseReference">
    <w:name w:val="Intense Reference"/>
    <w:basedOn w:val="DefaultParagraphFont"/>
    <w:uiPriority w:val="32"/>
    <w:qFormat/>
    <w:rsid w:val="00890E66"/>
    <w:rPr>
      <w:b/>
      <w:bCs/>
      <w:smallCaps/>
      <w:color w:val="0F4761" w:themeColor="accent1" w:themeShade="BF"/>
      <w:spacing w:val="5"/>
    </w:rPr>
  </w:style>
  <w:style w:type="paragraph" w:styleId="Header">
    <w:name w:val="header"/>
    <w:basedOn w:val="Normal"/>
    <w:link w:val="HeaderChar"/>
    <w:uiPriority w:val="99"/>
    <w:unhideWhenUsed/>
    <w:rsid w:val="00FA68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806"/>
  </w:style>
  <w:style w:type="paragraph" w:styleId="Footer">
    <w:name w:val="footer"/>
    <w:basedOn w:val="Normal"/>
    <w:link w:val="FooterChar"/>
    <w:uiPriority w:val="99"/>
    <w:unhideWhenUsed/>
    <w:rsid w:val="00FA6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806"/>
  </w:style>
  <w:style w:type="paragraph" w:styleId="NormalWeb">
    <w:name w:val="Normal (Web)"/>
    <w:basedOn w:val="Normal"/>
    <w:uiPriority w:val="99"/>
    <w:semiHidden/>
    <w:unhideWhenUsed/>
    <w:rsid w:val="000C304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7954D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C178D"/>
    <w:pPr>
      <w:spacing w:after="0" w:line="240" w:lineRule="auto"/>
    </w:pPr>
  </w:style>
  <w:style w:type="character" w:styleId="Hyperlink">
    <w:name w:val="Hyperlink"/>
    <w:basedOn w:val="DefaultParagraphFont"/>
    <w:uiPriority w:val="99"/>
    <w:unhideWhenUsed/>
    <w:rsid w:val="00E36C0E"/>
    <w:rPr>
      <w:color w:val="467886" w:themeColor="hyperlink"/>
      <w:u w:val="single"/>
    </w:rPr>
  </w:style>
  <w:style w:type="character" w:styleId="UnresolvedMention">
    <w:name w:val="Unresolved Mention"/>
    <w:basedOn w:val="DefaultParagraphFont"/>
    <w:uiPriority w:val="99"/>
    <w:semiHidden/>
    <w:unhideWhenUsed/>
    <w:rsid w:val="00E36C0E"/>
    <w:rPr>
      <w:color w:val="605E5C"/>
      <w:shd w:val="clear" w:color="auto" w:fill="E1DFDD"/>
    </w:rPr>
  </w:style>
  <w:style w:type="character" w:styleId="FollowedHyperlink">
    <w:name w:val="FollowedHyperlink"/>
    <w:basedOn w:val="DefaultParagraphFont"/>
    <w:uiPriority w:val="99"/>
    <w:semiHidden/>
    <w:unhideWhenUsed/>
    <w:rsid w:val="000E579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ew.officeapps.live.com/op/view.aspx?src=https%3A%2F%2Fwww.essex.gov.uk%2Fsites%2Fdefault%2Ffiles%2F2025-12%2FLGR%2520consultation%2520response.docx&amp;wdOrigin=BROWSE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2634</Words>
  <Characters>15019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Guthrie - Head of Profession Strategy</dc:creator>
  <cp:keywords/>
  <dc:description/>
  <cp:lastModifiedBy>Charlotte Britton - Head of Wellbeing and Public Health</cp:lastModifiedBy>
  <cp:revision>11</cp:revision>
  <cp:lastPrinted>2025-11-21T15:39:00Z</cp:lastPrinted>
  <dcterms:created xsi:type="dcterms:W3CDTF">2025-12-08T17:44:00Z</dcterms:created>
  <dcterms:modified xsi:type="dcterms:W3CDTF">2025-12-08T18:13:00Z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2025-11-21T13:47:33Z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f2fd935e-d398-4ea9-8006-8fcc3af7df42</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